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77777777" w:rsidR="00C57D4C" w:rsidRPr="00C57D4C" w:rsidRDefault="00C57D4C" w:rsidP="00C57D4C">
      <w:pPr>
        <w:pStyle w:val="BBAuthorName"/>
      </w:pPr>
      <w:r w:rsidRPr="00C57D4C">
        <w:t>Jacob P. Sieg</w:t>
      </w:r>
      <w:r w:rsidRPr="00C57D4C">
        <w:rPr>
          <w:vertAlign w:val="superscript"/>
        </w:rPr>
        <w:t>ᵵ1,</w:t>
      </w:r>
      <w:proofErr w:type="gramStart"/>
      <w:r w:rsidRPr="00C57D4C">
        <w:rPr>
          <w:vertAlign w:val="superscript"/>
        </w:rPr>
        <w:t>2</w:t>
      </w:r>
      <w:r w:rsidRPr="00C57D4C">
        <w:t>,</w:t>
      </w:r>
      <w:r w:rsidRPr="00C57D4C">
        <w:rPr>
          <w:vertAlign w:val="superscript"/>
        </w:rPr>
        <w:t>¶</w:t>
      </w:r>
      <w:proofErr w:type="gramEnd"/>
      <w:r w:rsidRPr="00C57D4C">
        <w:t xml:space="preserve"> Lauren </w:t>
      </w:r>
      <w:r w:rsidRPr="00C57D4C">
        <w:t>McKinley</w:t>
      </w:r>
      <w:r w:rsidRPr="00C57D4C">
        <w:rPr>
          <w:vertAlign w:val="superscript"/>
        </w:rPr>
        <w:t>1,2</w:t>
      </w:r>
      <w:r w:rsidRPr="00C57D4C">
        <w:t xml:space="preserve">, Melanie </w:t>
      </w:r>
      <w:proofErr w:type="spellStart"/>
      <w:r w:rsidRPr="00C57D4C">
        <w:t>Huot</w:t>
      </w:r>
      <w:proofErr w:type="spellEnd"/>
      <w:r w:rsidRPr="00C57D4C">
        <w:t xml:space="preserve">, Neela H. </w:t>
      </w:r>
      <w:r w:rsidRPr="00C57D4C">
        <w:t>Yennawar</w:t>
      </w:r>
      <w:r w:rsidRPr="00C57D4C">
        <w:rPr>
          <w:vertAlign w:val="superscript"/>
        </w:rPr>
        <w:t>4</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77777777" w:rsidR="00C57D4C" w:rsidRP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568BB325" w14:textId="77777777" w:rsidR="00C57D4C" w:rsidRPr="00C57D4C" w:rsidRDefault="00C57D4C" w:rsidP="00C57D4C">
      <w:pPr>
        <w:pStyle w:val="BCAuthorAddress"/>
      </w:pPr>
      <w:r w:rsidRPr="00C57D4C">
        <w:rPr>
          <w:vertAlign w:val="superscript"/>
        </w:rPr>
        <w:t>4</w:t>
      </w:r>
      <w:r w:rsidRPr="00C57D4C">
        <w:t>The</w:t>
      </w:r>
      <w:r w:rsidRPr="00C57D4C">
        <w:rPr>
          <w:vertAlign w:val="superscript"/>
        </w:rPr>
        <w:t xml:space="preserve"> </w:t>
      </w:r>
      <w:r w:rsidRPr="00C57D4C">
        <w:t>Huck Institutes of the Life Sciences, The Pennsylvania State University, University Park, PA 16802.</w:t>
      </w:r>
    </w:p>
    <w:p w14:paraId="11FEF727" w14:textId="42F018AC"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Magnesium ion, Metabolites, Chelated magnesium, RNA folding, RNA function, near-cellular condition</w:t>
      </w:r>
    </w:p>
    <w:p w14:paraId="06DD2332" w14:textId="6133143A"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0CCAC3F7" w:rsidR="00552A07" w:rsidRPr="00BE533F" w:rsidRDefault="00C57D4C" w:rsidP="00C57D4C">
      <w:pPr>
        <w:pStyle w:val="BDAbstract"/>
      </w:pPr>
      <w:r w:rsidRPr="00C57D4C">
        <w:t>Herein, we examine the complex network of interactions among RNA, the metabolome, and divalent Mg</w:t>
      </w:r>
      <w:r w:rsidRPr="00C57D4C">
        <w:rPr>
          <w:vertAlign w:val="superscript"/>
        </w:rPr>
        <w:t>2+</w:t>
      </w:r>
      <w:r w:rsidRPr="00C57D4C">
        <w:t xml:space="preserve"> in conditions that mimic the </w:t>
      </w:r>
      <w:r w:rsidRPr="00C57D4C">
        <w:rPr>
          <w:i/>
          <w:iCs/>
        </w:rPr>
        <w:t xml:space="preserve">E. coli </w:t>
      </w:r>
      <w:r w:rsidRPr="00C57D4C">
        <w:t>cytoplasm. We determined Mg</w:t>
      </w:r>
      <w:r w:rsidRPr="00C57D4C">
        <w:rPr>
          <w:vertAlign w:val="superscript"/>
        </w:rPr>
        <w:t>2+</w:t>
      </w:r>
      <w:r w:rsidRPr="00C57D4C">
        <w:t xml:space="preserve"> binding constants for the top 15 </w:t>
      </w:r>
      <w:r w:rsidRPr="00C57D4C">
        <w:rPr>
          <w:i/>
          <w:iCs/>
        </w:rPr>
        <w:t xml:space="preserve">E. coli </w:t>
      </w:r>
      <w:r w:rsidRPr="00C57D4C">
        <w:t xml:space="preserve">metabolites, comprising 80% of the total metabolome, at physiological pH and monovalent ion concentrations. These data were used to inform development of an artificial cytoplasm that mimics </w:t>
      </w:r>
      <w:r w:rsidRPr="00C57D4C">
        <w:rPr>
          <w:i/>
          <w:iCs/>
        </w:rPr>
        <w:t>in vivo E. coli</w:t>
      </w:r>
      <w:r w:rsidRPr="00C57D4C">
        <w:t xml:space="preserve"> conditions, termed “Eco80”. We empirically determined that the mixture of </w:t>
      </w:r>
      <w:r w:rsidRPr="00C57D4C">
        <w:rPr>
          <w:i/>
          <w:iCs/>
        </w:rPr>
        <w:t xml:space="preserve">E. coli </w:t>
      </w:r>
      <w:r w:rsidRPr="00C57D4C">
        <w:t>metabolites in Eco80 approximates single site binding behavior towards Mg</w:t>
      </w:r>
      <w:r w:rsidRPr="00C57D4C">
        <w:rPr>
          <w:vertAlign w:val="superscript"/>
        </w:rPr>
        <w:t>2+</w:t>
      </w:r>
      <w:r w:rsidRPr="00C57D4C">
        <w:t xml:space="preserve"> in the biologically relevant free Mg</w:t>
      </w:r>
      <w:r w:rsidRPr="00C57D4C">
        <w:rPr>
          <w:vertAlign w:val="superscript"/>
        </w:rPr>
        <w:t>2+</w:t>
      </w:r>
      <w:r w:rsidRPr="00C57D4C">
        <w:t xml:space="preserve"> range of ~0.5 to 3 mM Mg</w:t>
      </w:r>
      <w:r w:rsidRPr="00C57D4C">
        <w:rPr>
          <w:vertAlign w:val="superscript"/>
        </w:rPr>
        <w:t>2+</w:t>
      </w:r>
      <w:r w:rsidRPr="00C57D4C">
        <w:t>, using a Mg</w:t>
      </w:r>
      <w:r w:rsidRPr="00C57D4C">
        <w:rPr>
          <w:vertAlign w:val="superscript"/>
        </w:rPr>
        <w:t>2+</w:t>
      </w:r>
      <w:r w:rsidRPr="00C57D4C">
        <w:t xml:space="preserve"> sensitive fluorescent dye. Effects of Eco80 conditions on the thermodynamic stability, chemical stability, structure, and catalysis of RNA were examined. We find that Eco80</w:t>
      </w:r>
      <w:r w:rsidRPr="00C57D4C">
        <w:rPr>
          <w:i/>
          <w:iCs/>
        </w:rPr>
        <w:t xml:space="preserve"> </w:t>
      </w:r>
      <w:r w:rsidRPr="00C57D4C">
        <w:t>conditions lead to opposing effects on the thermodynamics and chemical stability of RNA</w:t>
      </w:r>
      <w:bookmarkStart w:id="0" w:name="_Hlk108790662"/>
      <w:r w:rsidRPr="00C57D4C">
        <w:t>. In particular, the thermodynamic stability of RNA helices was weakened while the chemical stability and catalysis of RNA were enhanced, which can be understood using the speciation of Mg</w:t>
      </w:r>
      <w:r w:rsidRPr="00C57D4C">
        <w:rPr>
          <w:vertAlign w:val="superscript"/>
        </w:rPr>
        <w:t>2+</w:t>
      </w:r>
      <w:r w:rsidRPr="00C57D4C">
        <w:t xml:space="preserve"> between weak and strong Mg</w:t>
      </w:r>
      <w:r w:rsidRPr="00C57D4C">
        <w:rPr>
          <w:vertAlign w:val="superscript"/>
        </w:rPr>
        <w:t>2+</w:t>
      </w:r>
      <w:r w:rsidRPr="00C57D4C">
        <w:t xml:space="preserve">-metabolite complexes in Eco80. Overall, the effects of Eco80 reflects RNA function </w:t>
      </w:r>
      <w:r w:rsidRPr="00C57D4C">
        <w:rPr>
          <w:i/>
          <w:iCs/>
        </w:rPr>
        <w:t xml:space="preserve">in vivo </w:t>
      </w:r>
      <w:r w:rsidRPr="00C57D4C">
        <w:t xml:space="preserve">and enhances the biological relevance of mechanistic studies of RNA </w:t>
      </w:r>
      <w:r w:rsidRPr="00C57D4C">
        <w:rPr>
          <w:i/>
          <w:iCs/>
        </w:rPr>
        <w:t>in-vitro</w:t>
      </w:r>
      <w:r w:rsidRPr="00C57D4C">
        <w:t>.</w:t>
      </w:r>
      <w:bookmarkEnd w:id="0"/>
    </w:p>
    <w:p w14:paraId="34B167D2" w14:textId="77777777"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34FC1633"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insight into RNA structure and function 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4D7F23D9"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proofErr w:type="spellStart"/>
      <w:r w:rsidRPr="00935500">
        <w:t>abiological</w:t>
      </w:r>
      <w:proofErr w:type="spellEnd"/>
      <w:r w:rsidRPr="00935500">
        <w:t xml:space="preserve"> crowders. Studies that use small molecules that are similar to metabolites indicate that these species interact strongly with the unfolded state of nucleic acids, destabilizing RNA and DNA secondary structure.</w:t>
      </w:r>
      <w:r w:rsidRPr="00935500">
        <w:rPr>
          <w:vertAlign w:val="superscript"/>
        </w:rPr>
        <w:t>1–5</w:t>
      </w:r>
      <w:r w:rsidRPr="00935500">
        <w:t xml:space="preserve"> Studies that simulate the cellular crowding macromolecules reveal stabilized RNA tertiary structures, increased folding cooperativity, and improved RNA function.</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indicates that crowders destabilize helicesl.</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1ECB6B91" w:rsidR="00935500" w:rsidRPr="00935500" w:rsidRDefault="00935500" w:rsidP="0034482F">
      <w:pPr>
        <w:pStyle w:val="TAMainText"/>
      </w:pPr>
      <w:r w:rsidRPr="00935500">
        <w:t>A number of studies have performed mechanistic studies of proteins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w:t>
      </w:r>
      <w:r w:rsidRPr="00935500">
        <w:t>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control over the environment that is provided by a simple system. Mechanistic studies of RNA in the cell or lysate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of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 xml:space="preserve"> in lysate because a cell will cease to regulate Mg</w:t>
      </w:r>
      <w:r w:rsidRPr="00935500">
        <w:rPr>
          <w:vertAlign w:val="superscript"/>
        </w:rPr>
        <w:t>2+</w:t>
      </w:r>
      <w:r w:rsidRPr="00935500">
        <w:t xml:space="preserve"> concentrations once it is lysed.</w:t>
      </w:r>
    </w:p>
    <w:p w14:paraId="0B4BC3C9" w14:textId="17C9C29D"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 effects of mixtures of one to three metabolites, which is a step forward but still far from the true complexity of the cellular environment. In addition, Mg</w:t>
      </w:r>
      <w:r w:rsidRPr="00935500">
        <w:rPr>
          <w:vertAlign w:val="superscript"/>
        </w:rPr>
        <w:t>2+</w:t>
      </w:r>
      <w:r w:rsidRPr="00935500">
        <w:t xml:space="preserve"> speciation is approximate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are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D030CB0" w14:textId="74A2B029" w:rsidR="00935500" w:rsidRDefault="00935500" w:rsidP="0034482F">
      <w:pPr>
        <w:pStyle w:val="TAMainText"/>
      </w:pPr>
      <w:r w:rsidRPr="00935500">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how much total Mg</w:t>
      </w:r>
      <w:r w:rsidRPr="00935500">
        <w:rPr>
          <w:vertAlign w:val="superscript"/>
        </w:rPr>
        <w:t>2+</w:t>
      </w:r>
      <w:r w:rsidRPr="00935500">
        <w:t xml:space="preserve"> concentration is present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590A9ADF" w14:textId="6402D8E7" w:rsidR="00935500" w:rsidRPr="000D5668" w:rsidRDefault="00935500" w:rsidP="0034482F">
      <w:pPr>
        <w:pStyle w:val="TAMainText"/>
        <w:rPr>
          <w:b/>
          <w:bCs/>
        </w:rPr>
      </w:pPr>
    </w:p>
    <w:p w14:paraId="3F2C6D4B" w14:textId="77777777" w:rsidR="00183F17" w:rsidRPr="00FF1DBC" w:rsidRDefault="00183F17" w:rsidP="00183F17">
      <w:pPr>
        <w:pStyle w:val="VDTableTitle"/>
      </w:pPr>
      <w:r w:rsidRPr="00FF1DBC">
        <w:lastRenderedPageBreak/>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Default="00183F17" w:rsidP="00100E04">
            <w:pPr>
              <w:pStyle w:val="TCTableBody"/>
              <w:spacing w:before="0" w:after="0"/>
              <w:jc w:val="center"/>
            </w:pPr>
            <w:r>
              <w:t>Conc.</w:t>
            </w:r>
            <w:r>
              <w:br/>
              <w:t>(mM)</w:t>
            </w:r>
            <w:r>
              <w:rPr>
                <w:rFonts w:ascii="Arial" w:hAnsi="Arial"/>
                <w:bCs/>
                <w:position w:val="8"/>
                <w:sz w:val="16"/>
                <w:szCs w:val="16"/>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w:t>
            </w:r>
            <w:proofErr w:type="gramStart"/>
            <w:r>
              <w:t>0.01)</w:t>
            </w:r>
            <w:r w:rsidRPr="00444484">
              <w:rPr>
                <w:vertAlign w:val="superscript"/>
              </w:rPr>
              <w:t>b</w:t>
            </w:r>
            <w:proofErr w:type="gramEnd"/>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w:t>
            </w:r>
            <w:proofErr w:type="gramStart"/>
            <w:r>
              <w:t>0.004)</w:t>
            </w:r>
            <w:r>
              <w:rPr>
                <w:vertAlign w:val="superscript"/>
              </w:rPr>
              <w:t>b</w:t>
            </w:r>
            <w:proofErr w:type="gramEnd"/>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w:t>
            </w:r>
            <w:proofErr w:type="gramStart"/>
            <w:r>
              <w:t>0.007)</w:t>
            </w:r>
            <w:r>
              <w:rPr>
                <w:vertAlign w:val="superscript"/>
              </w:rPr>
              <w:t>b</w:t>
            </w:r>
            <w:proofErr w:type="gramEnd"/>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w:t>
            </w:r>
            <w:proofErr w:type="gramStart"/>
            <w:r>
              <w:t>0.003)</w:t>
            </w:r>
            <w:r>
              <w:rPr>
                <w:vertAlign w:val="superscript"/>
              </w:rPr>
              <w:t>b</w:t>
            </w:r>
            <w:proofErr w:type="gramEnd"/>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w:t>
            </w:r>
            <w:proofErr w:type="gramStart"/>
            <w:r>
              <w:t>0.1)</w:t>
            </w:r>
            <w:r>
              <w:rPr>
                <w:vertAlign w:val="superscript"/>
              </w:rPr>
              <w:t>b</w:t>
            </w:r>
            <w:proofErr w:type="gramEnd"/>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w:t>
            </w:r>
            <w:proofErr w:type="gramStart"/>
            <w:r>
              <w:t>0.2)</w:t>
            </w:r>
            <w:r>
              <w:rPr>
                <w:vertAlign w:val="superscript"/>
              </w:rPr>
              <w:t>b</w:t>
            </w:r>
            <w:proofErr w:type="gramEnd"/>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w:t>
            </w:r>
            <w:proofErr w:type="gramStart"/>
            <w:r>
              <w:t>0.2)</w:t>
            </w:r>
            <w:r>
              <w:rPr>
                <w:vertAlign w:val="superscript"/>
              </w:rPr>
              <w:t>b</w:t>
            </w:r>
            <w:proofErr w:type="gramEnd"/>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w:t>
            </w:r>
            <w:proofErr w:type="gramStart"/>
            <w:r>
              <w:t>0.9)</w:t>
            </w:r>
            <w:r>
              <w:rPr>
                <w:vertAlign w:val="superscript"/>
              </w:rPr>
              <w:t>c</w:t>
            </w:r>
            <w:proofErr w:type="gramEnd"/>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3B67453" w14:textId="77777777" w:rsidR="00183F17" w:rsidRPr="00935500" w:rsidRDefault="00183F17" w:rsidP="00183F17">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Isothermal titration calorimetry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Figure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Eco80, a nucleotide triphosphate-chelated Mg</w:t>
      </w:r>
      <w:r w:rsidRPr="00FF1DBC">
        <w:rPr>
          <w:vertAlign w:val="superscript"/>
        </w:rPr>
        <w:t>2+</w:t>
      </w:r>
      <w:r w:rsidRPr="00FF1DBC">
        <w:t xml:space="preserve"> and weak metabolite-chelated Mg</w:t>
      </w:r>
      <w:r w:rsidRPr="00FF1DBC">
        <w:rPr>
          <w:vertAlign w:val="superscript"/>
        </w:rPr>
        <w:t>2+</w:t>
      </w:r>
      <w:r w:rsidRPr="00FF1DBC">
        <w:t>, respectively.</w:t>
      </w:r>
    </w:p>
    <w:p w14:paraId="22EFD08F" w14:textId="77777777" w:rsidR="00183F17" w:rsidRDefault="00183F17" w:rsidP="0034482F">
      <w:pPr>
        <w:pStyle w:val="TAMainText"/>
        <w:rPr>
          <w:b/>
          <w:bCs/>
        </w:rPr>
      </w:pPr>
      <w:r w:rsidRPr="000D5668">
        <w:rPr>
          <w:b/>
          <w:bCs/>
        </w:rPr>
        <w:t>Results</w:t>
      </w:r>
      <w:r>
        <w:rPr>
          <w:b/>
          <w:bCs/>
        </w:rPr>
        <w:t xml:space="preserve"> </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55387305"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77777777" w:rsidR="00935500" w:rsidRPr="00935500" w:rsidRDefault="00935500" w:rsidP="0034482F">
      <w:pPr>
        <w:pStyle w:val="TAMainText"/>
      </w:pPr>
      <w:r w:rsidRPr="00935500">
        <w:t xml:space="preserve">Eco80 was prepared at a 2x concentration so that it could be diluted into other reagents and contain physiological </w:t>
      </w:r>
      <w:r w:rsidRPr="00935500">
        <w:t>concentrations of monovalent metal ions at pH 7.0 (see supplementary information (SI) table 1 for details). Briefly, all metabolites in Eco80 are zwitterions or negatively charged near physiological pH 7, which requires electrostatic neutralization with metal ions. Metabolite salts and free acids were prepared to a final 2xconcentration,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1382AE03"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have functional groups, carboxylates and phosphates, that drive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BB1101">
        <w:t xml:space="preserve">Since </w:t>
      </w:r>
      <w:r w:rsidRPr="00935500">
        <w:t>Mg</w:t>
      </w:r>
      <w:r w:rsidRPr="00935500">
        <w:rPr>
          <w:vertAlign w:val="superscript"/>
        </w:rPr>
        <w:t>2+</w:t>
      </w:r>
      <w:r w:rsidRPr="00935500">
        <w:t xml:space="preserve"> binding affinity is dependent on environmental factors such as pH composition of background ions, and temperature.</w:t>
      </w:r>
      <w:r w:rsidRPr="00935500">
        <w:fldChar w:fldCharType="begin"/>
      </w:r>
      <w:r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Pr="00935500">
        <w:fldChar w:fldCharType="separate"/>
      </w:r>
      <w:r w:rsidRPr="00935500">
        <w:rPr>
          <w:vertAlign w:val="superscript"/>
        </w:rPr>
        <w:t>26–32</w:t>
      </w:r>
      <w:r w:rsidRPr="00935500">
        <w:fldChar w:fldCharType="end"/>
      </w:r>
      <w:r w:rsidR="00BB1101">
        <w:t>,</w:t>
      </w:r>
      <w:r w:rsidRPr="00935500">
        <w:t xml:space="preserve"> we </w:t>
      </w:r>
      <w:r w:rsidR="00BB1101">
        <w:t xml:space="preserve">thus </w:t>
      </w:r>
      <w:r w:rsidRPr="00935500">
        <w:t>sought 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p>
    <w:p w14:paraId="01649B20" w14:textId="4351CC93"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metal ion-binding dye </w:t>
      </w:r>
      <w:bookmarkStart w:id="4" w:name="page38R_mcid10"/>
      <w:bookmarkEnd w:id="4"/>
      <w:r w:rsidRPr="00935500">
        <w:t>8-Hydroxy-5-quinolinesulfonic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Pr="00935500">
        <w:t xml:space="preserve"> for Mg</w:t>
      </w:r>
      <w:r w:rsidRPr="00935500">
        <w:rPr>
          <w:vertAlign w:val="superscript"/>
        </w:rPr>
        <w:t>2+</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is titrated into HQS solutions in the absence and presence of weak to strong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is then fit to a binding model for the binding of Mg</w:t>
      </w:r>
      <w:r w:rsidRPr="00935500">
        <w:rPr>
          <w:vertAlign w:val="superscript"/>
        </w:rPr>
        <w:t>2+</w:t>
      </w:r>
      <w:r w:rsidRPr="00935500">
        <w:t xml:space="preserve"> to HQS (Equation 1)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chelator, using the no-chelator data to obtain free Mg</w:t>
      </w:r>
      <w:r w:rsidRPr="00935500">
        <w:rPr>
          <w:vertAlign w:val="superscript"/>
        </w:rPr>
        <w:t>2+</w:t>
      </w:r>
      <w:r w:rsidRPr="00935500">
        <w:t xml:space="preserve"> concentration at any total concentration of Mg</w:t>
      </w:r>
      <w:r w:rsidRPr="00935500">
        <w:rPr>
          <w:vertAlign w:val="superscript"/>
        </w:rPr>
        <w:t>2+</w:t>
      </w:r>
      <w:r w:rsidRPr="00935500">
        <w:t>. Note that free and total Mg</w:t>
      </w:r>
      <w:r w:rsidRPr="00935500">
        <w:rPr>
          <w:vertAlign w:val="superscript"/>
        </w:rPr>
        <w:t>2+</w:t>
      </w:r>
      <w:r w:rsidRPr="00935500">
        <w:t xml:space="preserve"> concentrations are the same, y=x, in the absence of chelators, and that the data are </w:t>
      </w:r>
      <w:proofErr w:type="gramStart"/>
      <w:r w:rsidRPr="00935500">
        <w:t>right-shifted</w:t>
      </w:r>
      <w:proofErr w:type="gramEnd"/>
      <w:r w:rsidRPr="00935500">
        <w:t xml:space="preserve"> in the presence of chelators (SI figure 2A, bottom).  </w:t>
      </w:r>
      <w:commentRangeStart w:id="5"/>
      <w:commentRangeStart w:id="6"/>
      <w:r w:rsidRPr="00935500">
        <w:t>The affinity of Mg</w:t>
      </w:r>
      <w:r w:rsidRPr="00935500">
        <w:rPr>
          <w:vertAlign w:val="superscript"/>
        </w:rPr>
        <w:t>2+</w:t>
      </w:r>
      <w:r w:rsidRPr="00935500">
        <w:t xml:space="preserve"> binding by metabolites is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 (SI equation 4).</w:t>
      </w:r>
      <w:commentRangeEnd w:id="5"/>
      <w:r w:rsidRPr="00935500">
        <w:commentReference w:id="5"/>
      </w:r>
      <w:commentRangeEnd w:id="6"/>
      <w:r w:rsidRPr="00935500">
        <w:commentReference w:id="6"/>
      </w:r>
    </w:p>
    <w:p w14:paraId="0D76430E" w14:textId="6F4D337B" w:rsidR="00935500" w:rsidRDefault="00935500" w:rsidP="0034482F">
      <w:pPr>
        <w:pStyle w:val="TAMainText"/>
      </w:pPr>
      <w:r w:rsidRPr="00935500">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w:t>
      </w:r>
      <w:r w:rsidRPr="00935500">
        <w:lastRenderedPageBreak/>
        <w:t>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77777777" w:rsidR="00183F17" w:rsidRDefault="00183F17" w:rsidP="00183F17">
      <w:pPr>
        <w:spacing w:after="0"/>
      </w:pPr>
      <w:r w:rsidRPr="00D84587">
        <w:drawing>
          <wp:inline distT="0" distB="0" distL="0" distR="0" wp14:anchorId="00AC6854" wp14:editId="712B1762">
            <wp:extent cx="2925714" cy="2834286"/>
            <wp:effectExtent l="0" t="0" r="8255"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4"/>
                    <a:stretch>
                      <a:fillRect/>
                    </a:stretch>
                  </pic:blipFill>
                  <pic:spPr>
                    <a:xfrm>
                      <a:off x="0" y="0"/>
                      <a:ext cx="2925714" cy="2834286"/>
                    </a:xfrm>
                    <a:prstGeom prst="rect">
                      <a:avLst/>
                    </a:prstGeom>
                  </pic:spPr>
                </pic:pic>
              </a:graphicData>
            </a:graphic>
          </wp:inline>
        </w:drawing>
      </w:r>
    </w:p>
    <w:p w14:paraId="7FBCE925" w14:textId="537F346A" w:rsidR="00183F17" w:rsidRPr="0093550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w:t>
      </w:r>
      <w:proofErr w:type="gramStart"/>
      <w:r w:rsidRPr="00183F17">
        <w:rPr>
          <w:b w:val="0"/>
          <w:bCs w:val="0"/>
        </w:rPr>
        <w:t>other</w:t>
      </w:r>
      <w:proofErr w:type="gramEnd"/>
      <w:r w:rsidRPr="00183F17">
        <w:rPr>
          <w:b w:val="0"/>
          <w:bCs w:val="0"/>
        </w:rPr>
        <w:t xml:space="preserve">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8-hydroxyquinoline-5-sulphonic acid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in the absence of chelators.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1000 statistical simulations of the virtual artificial cytoplasms based on experimental errors in </w:t>
      </w:r>
      <w:r w:rsidRPr="00183F17">
        <w:rPr>
          <w:b w:val="0"/>
          <w:bCs w:val="0"/>
          <w:i/>
          <w:iCs/>
        </w:rPr>
        <w:t>K</w:t>
      </w:r>
      <w:r w:rsidRPr="00183F17">
        <w:rPr>
          <w:b w:val="0"/>
          <w:bCs w:val="0"/>
          <w:i/>
          <w:iCs/>
          <w:vertAlign w:val="subscript"/>
        </w:rPr>
        <w:t>D</w:t>
      </w:r>
      <w:r w:rsidRPr="00183F17">
        <w:rPr>
          <w:b w:val="0"/>
          <w:bCs w:val="0"/>
        </w:rPr>
        <w:t xml:space="preserve"> determination, experimental errors in reagent concentrations, and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concentration zone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p>
    <w:p w14:paraId="0CF73865" w14:textId="24E07077"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directly determines free Mg</w:t>
      </w:r>
      <w:r w:rsidRPr="00935500">
        <w:rPr>
          <w:vertAlign w:val="superscript"/>
        </w:rPr>
        <w:t>2+</w:t>
      </w:r>
      <w:r w:rsidRPr="00935500">
        <w:t xml:space="preserve"> but does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estimates Mg</w:t>
      </w:r>
      <w:r w:rsidRPr="00935500">
        <w:rPr>
          <w:vertAlign w:val="superscript"/>
        </w:rPr>
        <w:t>2+</w:t>
      </w:r>
      <w:r w:rsidRPr="00935500">
        <w:t xml:space="preserve"> speciation assuming single-site binding (meaning that one metabolite associates one Mg</w:t>
      </w:r>
      <w:r w:rsidRPr="00935500">
        <w:rPr>
          <w:vertAlign w:val="superscript"/>
        </w:rPr>
        <w:t>2+</w:t>
      </w:r>
      <w:r w:rsidRPr="00935500">
        <w:t xml:space="preserve"> ion). The second method approximates Mg</w:t>
      </w:r>
      <w:r w:rsidRPr="00935500">
        <w:rPr>
          <w:vertAlign w:val="superscript"/>
        </w:rPr>
        <w:t>2+</w:t>
      </w:r>
      <w:r w:rsidRPr="00935500">
        <w:t xml:space="preserve"> speciation to different metabolites but does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w:t>
      </w:r>
      <w:r w:rsidRPr="00935500">
        <w:t xml:space="preserve">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the</w:t>
      </w:r>
      <w:r w:rsidR="00DA6E25">
        <w:t xml:space="preserve"> </w:t>
      </w:r>
      <w:r w:rsidRPr="00935500">
        <w:t>virtual artificial cytoplasm with different errors, where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6D8A1882" w:rsidR="00935500" w:rsidRPr="00935500" w:rsidRDefault="009355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m:rPr>
                              <m:sty m:val="p"/>
                            </m:rPr>
                            <w:rPr>
                              <w:rFonts w:ascii="Cambria Math" w:hAnsi="Cambria Math"/>
                            </w:rPr>
                            <m:t>'</m:t>
                          </m:r>
                        </m:sup>
                      </m:sSubSup>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77777777" w:rsidR="00935500" w:rsidRPr="00935500" w:rsidRDefault="00935500" w:rsidP="0034482F">
      <w:pPr>
        <w:pStyle w:val="TAMainText"/>
      </w:pPr>
      <w:r w:rsidRPr="00935500">
        <w:t>On the basis of agreement of the HQS data and the statistical simulation, methods 1 and 2, respectively, the two methods support a model in which Mg</w:t>
      </w:r>
      <w:r w:rsidRPr="00935500">
        <w:rPr>
          <w:vertAlign w:val="superscript"/>
        </w:rPr>
        <w:t>2+</w:t>
      </w:r>
      <w:r w:rsidRPr="00935500">
        <w:t xml:space="preserve"> speciates in artificial cytoplasms largely according to a single-site model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does not speciate according to a single-site model at higher free Mg</w:t>
      </w:r>
      <w:r w:rsidRPr="00935500">
        <w:rPr>
          <w:vertAlign w:val="superscript"/>
        </w:rPr>
        <w:t>2+</w:t>
      </w:r>
      <w:r w:rsidRPr="00935500">
        <w:t xml:space="preserve"> concentrations (Figure 1 E-G).</w:t>
      </w:r>
    </w:p>
    <w:p w14:paraId="239CD182" w14:textId="34286E5E" w:rsidR="00DF26F1" w:rsidRDefault="00935500" w:rsidP="0034482F">
      <w:pPr>
        <w:pStyle w:val="TAMainText"/>
        <w:rPr>
          <w:b/>
          <w:bCs/>
        </w:rPr>
      </w:pPr>
      <w:r w:rsidRPr="00935500">
        <w:t>In Eco80, the statistical model suggests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are consistent with this single-site behavior (Figure 1E, black data points). At higher free Mg</w:t>
      </w:r>
      <w:r w:rsidRPr="00935500">
        <w:rPr>
          <w:vertAlign w:val="superscript"/>
        </w:rPr>
        <w:t>2+</w:t>
      </w:r>
      <w:r w:rsidRPr="00935500">
        <w:t xml:space="preserve"> concentrations, Eco80 should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2856E7">
        <w:t>T</w:t>
      </w:r>
      <w:r w:rsidRPr="00935500">
        <w:t>he free Mg</w:t>
      </w:r>
      <w:r w:rsidRPr="00935500">
        <w:rPr>
          <w:vertAlign w:val="superscript"/>
        </w:rPr>
        <w:t>2+</w:t>
      </w:r>
      <w:r w:rsidRPr="00935500">
        <w:t xml:space="preserve"> concentration measured with HQS does not increase as fast as the statistical model predicts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increases from 3 mM to ~10 mM (Figure 1E, data points). One possibility is that multivalent interactions, where several Mg</w:t>
      </w:r>
      <w:r w:rsidRPr="00935500">
        <w:rPr>
          <w:vertAlign w:val="superscript"/>
        </w:rPr>
        <w:t>2+-</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is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00DF26F1" w:rsidRPr="00DF26F1">
        <w:rPr>
          <w:b/>
          <w:bCs/>
        </w:rPr>
        <w:t xml:space="preserve"> </w:t>
      </w:r>
    </w:p>
    <w:p w14:paraId="2E2ECDC1" w14:textId="201D6AF4" w:rsidR="00DF26F1" w:rsidRPr="00FF1DBC" w:rsidRDefault="00DF26F1" w:rsidP="00D84587">
      <w:pPr>
        <w:pStyle w:val="VDTableTitle"/>
      </w:pPr>
      <w:r w:rsidRPr="00FF1DBC">
        <w:t>Table 2.  Total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72A71">
            <w:pPr>
              <w:pStyle w:val="TCTableBody"/>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72A71">
            <w:pPr>
              <w:pStyle w:val="TCTableBody"/>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72A71">
            <w:pPr>
              <w:pStyle w:val="TCTableBody"/>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72A71">
            <w:pPr>
              <w:pStyle w:val="TCTableBody"/>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72A71">
            <w:pPr>
              <w:pStyle w:val="TCTableBody"/>
            </w:pPr>
            <w:r w:rsidRPr="00FF1DBC">
              <w:t>Eco80</w:t>
            </w:r>
          </w:p>
        </w:tc>
        <w:tc>
          <w:tcPr>
            <w:tcW w:w="0" w:type="auto"/>
            <w:tcBorders>
              <w:top w:val="single" w:sz="4" w:space="0" w:color="000000"/>
            </w:tcBorders>
            <w:vAlign w:val="center"/>
          </w:tcPr>
          <w:p w14:paraId="650BB198" w14:textId="77777777" w:rsidR="00DF26F1" w:rsidRPr="00FF1DBC" w:rsidRDefault="00DF26F1" w:rsidP="00F72A71">
            <w:pPr>
              <w:pStyle w:val="TCTableBody"/>
            </w:pPr>
            <w:r w:rsidRPr="00FF1DBC">
              <w:t>31.6</w:t>
            </w:r>
          </w:p>
        </w:tc>
        <w:tc>
          <w:tcPr>
            <w:tcW w:w="0" w:type="auto"/>
            <w:tcBorders>
              <w:top w:val="single" w:sz="4" w:space="0" w:color="000000"/>
            </w:tcBorders>
            <w:vAlign w:val="center"/>
          </w:tcPr>
          <w:p w14:paraId="0CA9018B" w14:textId="77777777" w:rsidR="00DF26F1" w:rsidRPr="00FF1DBC" w:rsidRDefault="00DF26F1" w:rsidP="00F72A71">
            <w:pPr>
              <w:pStyle w:val="TCTableBody"/>
            </w:pPr>
            <w:r w:rsidRPr="00FF1DBC">
              <w:t>29.6</w:t>
            </w:r>
          </w:p>
        </w:tc>
        <w:tc>
          <w:tcPr>
            <w:tcW w:w="0" w:type="auto"/>
            <w:tcBorders>
              <w:top w:val="single" w:sz="4" w:space="0" w:color="000000"/>
            </w:tcBorders>
            <w:vAlign w:val="center"/>
          </w:tcPr>
          <w:p w14:paraId="4AACE57F" w14:textId="77777777" w:rsidR="00DF26F1" w:rsidRPr="00FF1DBC" w:rsidRDefault="00DF26F1" w:rsidP="00F72A71">
            <w:pPr>
              <w:pStyle w:val="TCTableBody"/>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72A71">
            <w:pPr>
              <w:pStyle w:val="TCTableBody"/>
            </w:pPr>
            <w:r w:rsidRPr="00FF1DBC">
              <w:t>NTPCM</w:t>
            </w:r>
          </w:p>
        </w:tc>
        <w:tc>
          <w:tcPr>
            <w:tcW w:w="0" w:type="auto"/>
            <w:vAlign w:val="center"/>
          </w:tcPr>
          <w:p w14:paraId="5AC16DE2" w14:textId="77777777" w:rsidR="00DF26F1" w:rsidRPr="00FF1DBC" w:rsidRDefault="00DF26F1" w:rsidP="00F72A71">
            <w:pPr>
              <w:pStyle w:val="TCTableBody"/>
            </w:pPr>
            <w:r w:rsidRPr="00FF1DBC">
              <w:t>25.0</w:t>
            </w:r>
          </w:p>
        </w:tc>
        <w:tc>
          <w:tcPr>
            <w:tcW w:w="0" w:type="auto"/>
            <w:vAlign w:val="center"/>
          </w:tcPr>
          <w:p w14:paraId="49A15091" w14:textId="77777777" w:rsidR="00DF26F1" w:rsidRPr="00FF1DBC" w:rsidRDefault="00DF26F1" w:rsidP="00F72A71">
            <w:pPr>
              <w:pStyle w:val="TCTableBody"/>
            </w:pPr>
            <w:r w:rsidRPr="00FF1DBC">
              <w:t>23.0</w:t>
            </w:r>
          </w:p>
        </w:tc>
        <w:tc>
          <w:tcPr>
            <w:tcW w:w="0" w:type="auto"/>
            <w:vAlign w:val="center"/>
          </w:tcPr>
          <w:p w14:paraId="4C9C9FDE" w14:textId="77777777" w:rsidR="00DF26F1" w:rsidRPr="00FF1DBC" w:rsidRDefault="00DF26F1" w:rsidP="00F72A71">
            <w:pPr>
              <w:pStyle w:val="TCTableBody"/>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72A71">
            <w:pPr>
              <w:pStyle w:val="TCTableBody"/>
            </w:pPr>
            <w:r w:rsidRPr="00FF1DBC">
              <w:t>WMCM</w:t>
            </w:r>
          </w:p>
        </w:tc>
        <w:tc>
          <w:tcPr>
            <w:tcW w:w="0" w:type="auto"/>
            <w:tcBorders>
              <w:bottom w:val="single" w:sz="4" w:space="0" w:color="000000"/>
            </w:tcBorders>
            <w:vAlign w:val="center"/>
          </w:tcPr>
          <w:p w14:paraId="3214259C" w14:textId="77777777" w:rsidR="00DF26F1" w:rsidRPr="00FF1DBC" w:rsidRDefault="00DF26F1" w:rsidP="00F72A71">
            <w:pPr>
              <w:pStyle w:val="TCTableBody"/>
            </w:pPr>
            <w:r w:rsidRPr="00FF1DBC">
              <w:t>6.4</w:t>
            </w:r>
          </w:p>
        </w:tc>
        <w:tc>
          <w:tcPr>
            <w:tcW w:w="0" w:type="auto"/>
            <w:tcBorders>
              <w:bottom w:val="single" w:sz="4" w:space="0" w:color="000000"/>
            </w:tcBorders>
            <w:vAlign w:val="center"/>
          </w:tcPr>
          <w:p w14:paraId="49F39196" w14:textId="77777777" w:rsidR="00DF26F1" w:rsidRPr="00FF1DBC" w:rsidRDefault="00DF26F1" w:rsidP="00F72A71">
            <w:pPr>
              <w:pStyle w:val="TCTableBody"/>
            </w:pPr>
            <w:r w:rsidRPr="00FF1DBC">
              <w:t>4.5</w:t>
            </w:r>
          </w:p>
        </w:tc>
        <w:tc>
          <w:tcPr>
            <w:tcW w:w="0" w:type="auto"/>
            <w:tcBorders>
              <w:bottom w:val="single" w:sz="4" w:space="0" w:color="000000"/>
            </w:tcBorders>
            <w:vAlign w:val="center"/>
          </w:tcPr>
          <w:p w14:paraId="2024FF03" w14:textId="77777777" w:rsidR="00DF26F1" w:rsidRPr="00FF1DBC" w:rsidRDefault="00DF26F1" w:rsidP="00F72A71">
            <w:pPr>
              <w:pStyle w:val="TCTableBody"/>
            </w:pPr>
            <w:r w:rsidRPr="00FF1DBC">
              <w:t>2.0</w:t>
            </w:r>
          </w:p>
        </w:tc>
      </w:tr>
    </w:tbl>
    <w:p w14:paraId="2ED78B96" w14:textId="1BA10E23"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w:t>
      </w:r>
      <w:r w:rsidRPr="00935500">
        <w:lastRenderedPageBreak/>
        <w:t>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w:t>
      </w:r>
      <w:r w:rsidRPr="00935500">
        <w:t>produce 2 mM Free Mg</w:t>
      </w:r>
      <w:r w:rsidRPr="00935500">
        <w:rPr>
          <w:vertAlign w:val="superscript"/>
        </w:rPr>
        <w:t>2+</w:t>
      </w:r>
      <w:r w:rsidRPr="00935500">
        <w:t xml:space="preserve"> was calculated from the polynomial fit (see methods for details). This resulted in predicted 31.6, 25.0, and 6.5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7376E105" w:rsidR="00D84587" w:rsidRDefault="00C16A30" w:rsidP="00D84587">
      <w:pPr>
        <w:pStyle w:val="TAMainText"/>
        <w:jc w:val="center"/>
      </w:pPr>
      <w:r>
        <w:rPr>
          <w:noProof/>
        </w:rPr>
        <w:drawing>
          <wp:inline distT="0" distB="0" distL="0" distR="0" wp14:anchorId="32A38423" wp14:editId="7820E17B">
            <wp:extent cx="4572952" cy="2925714"/>
            <wp:effectExtent l="0" t="0" r="0" b="825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a:stretch>
                      <a:fillRect/>
                    </a:stretch>
                  </pic:blipFill>
                  <pic:spPr>
                    <a:xfrm>
                      <a:off x="0" y="0"/>
                      <a:ext cx="4572952" cy="2925714"/>
                    </a:xfrm>
                    <a:prstGeom prst="rect">
                      <a:avLst/>
                    </a:prstGeom>
                  </pic:spPr>
                </pic:pic>
              </a:graphicData>
            </a:graphic>
          </wp:inline>
        </w:drawing>
      </w:r>
    </w:p>
    <w:p w14:paraId="51B58766" w14:textId="77777777"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150B32">
        <w:rPr>
          <w:i/>
          <w:iCs/>
        </w:rPr>
        <w:t>E.</w:t>
      </w:r>
      <w:proofErr w:type="gramEnd"/>
      <w:r w:rsidRPr="00150B32">
        <w:rPr>
          <w:i/>
          <w:iCs/>
        </w:rPr>
        <w:t xml:space="preserve"> coli </w:t>
      </w:r>
      <w:r w:rsidRPr="00150B32">
        <w:t>metabolite Mg</w:t>
      </w:r>
      <w:r w:rsidRPr="00150B32">
        <w:rPr>
          <w:vertAlign w:val="superscript"/>
        </w:rPr>
        <w:t xml:space="preserve">2+  </w:t>
      </w:r>
      <w:r w:rsidRPr="00150B32">
        <w:t xml:space="preserve">mixtures destabilize RNA secondary structure. (A) Layout of a fluorescence binding isotherm assay in a Real-Time PCR machine. (B) Raw fluorescence binding isotherms fit to determine equilibrium constants with MeltR. Data points represent raw data. Curves represent curve fits. Colors represent different temperatures (purple: 32.3, blue: 41.8, teal: 51.3, green: 54.6, yellow: 58.4, orange: 60.7, red: 63.1 °C). (C) Van’t Hoff relationship between equilibrium constant and temperature for helix </w:t>
      </w:r>
      <w:proofErr w:type="gramStart"/>
      <w:r w:rsidRPr="00150B32">
        <w:t>2:CGCAUCCU</w:t>
      </w:r>
      <w:proofErr w:type="gramEnd"/>
      <w:r w:rsidRPr="00150B32">
        <w:t>/AGGAUGCG folding in background monovalent metal ions (240 mM NaCl 140 mM KCl), Eco80, NTPCM, and WMCM. All conditions contain 2 mM free Mg</w:t>
      </w:r>
      <w:r w:rsidRPr="00150B32">
        <w:rPr>
          <w:vertAlign w:val="superscript"/>
        </w:rPr>
        <w:t>2+</w:t>
      </w:r>
      <w:r w:rsidRPr="00150B32">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Helix. </w:t>
      </w:r>
      <w:commentRangeStart w:id="7"/>
      <w:commentRangeStart w:id="8"/>
      <w:r w:rsidRPr="00150B32">
        <w:t>(D)</w:t>
      </w:r>
      <w:commentRangeEnd w:id="7"/>
      <w:r w:rsidRPr="00150B32">
        <w:commentReference w:id="7"/>
      </w:r>
      <w:commentRangeEnd w:id="8"/>
      <w:r w:rsidRPr="00150B32">
        <w:commentReference w:id="8"/>
      </w:r>
      <w:r w:rsidRPr="00150B32">
        <w:t xml:space="preserve"> Helix folding energies in monovalent ions, Eco80, NTPCM, and WMCM were determined using fluorescence binding isotherms that are fit with the MeltR program. All conditions contained 2 mM free Mg</w:t>
      </w:r>
      <w:r w:rsidRPr="00150B32">
        <w:rPr>
          <w:vertAlign w:val="superscript"/>
        </w:rPr>
        <w:t>2+</w:t>
      </w:r>
      <w:r w:rsidRPr="00150B32">
        <w:t xml:space="preserve"> as per table 2. The Gibbs free energy at 37 °C, ΔG</w:t>
      </w:r>
      <w:r w:rsidRPr="00150B32">
        <w:rPr>
          <w:vertAlign w:val="superscript"/>
        </w:rPr>
        <w:t>°</w:t>
      </w:r>
      <w:r w:rsidRPr="00150B32">
        <w:rPr>
          <w:vertAlign w:val="subscript"/>
        </w:rPr>
        <w:t>37</w:t>
      </w:r>
      <w:r w:rsidRPr="00150B32">
        <w:rPr>
          <w:vertAlign w:val="superscript"/>
        </w:rPr>
        <w:t>,</w:t>
      </w:r>
      <w:r w:rsidRPr="00150B32">
        <w:t xml:space="preserve"> in Eco80, NTPCM, and WMCM compared to the ΔG</w:t>
      </w:r>
      <w:r w:rsidRPr="00150B32">
        <w:rPr>
          <w:vertAlign w:val="superscript"/>
        </w:rPr>
        <w:t>37°C</w:t>
      </w:r>
      <w:r w:rsidRPr="00150B32">
        <w:t xml:space="preserve"> in background monovalent metal ions (240 mM NaCl 140 mM KCl), for five RNA helices. All conditions contain 2 mM free Mg</w:t>
      </w:r>
      <w:r w:rsidRPr="00150B32">
        <w:rPr>
          <w:vertAlign w:val="superscript"/>
        </w:rPr>
        <w:t>2+</w:t>
      </w:r>
      <w:r w:rsidRPr="00150B32">
        <w:t>. Errors were propagated assuming 1.5% uncertainty in the Gibb’s free energy at 37 °C (see methods for error analysis).</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4D62CC6E" w:rsidR="00935500" w:rsidRPr="00935500" w:rsidRDefault="00935500" w:rsidP="0034482F">
      <w:pPr>
        <w:pStyle w:val="TAMainText"/>
      </w:pPr>
      <w:r w:rsidRPr="00935500">
        <w:t>We sought to understand how Eco80 affects the thermodynamic stability of RNA. Stability of RNA helices has been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cannot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77777777" w:rsidR="00497010" w:rsidRDefault="00935500" w:rsidP="0034482F">
      <w:pPr>
        <w:pStyle w:val="TAMainText"/>
      </w:pPr>
      <w:r w:rsidRPr="00935500">
        <w:t xml:space="preserve">Helix stability was monitored using the emission of a 5’-fluorophore-labeled RNA strand (FAM-RNA) in equilibrium with a complementary 3’-quencher labeled RNA strand (RNA-BHQ1) (Figure 2A). High emission indicates that the FAM-RNA is single-stranded, while low emission indicates that it is bound in duplex with RNA-BHQ1. We used a binding isotherm method, where RNA-BHQ1 is titrated into a constant concentration of FAM-RNA (SI figure 3), resulting in a </w:t>
      </w:r>
      <w:proofErr w:type="gramStart"/>
      <w:r w:rsidRPr="00935500">
        <w:t>binding isotherms (Figure 2B)</w:t>
      </w:r>
      <w:proofErr w:type="gramEnd"/>
      <w:r w:rsidRPr="00935500">
        <w:t xml:space="preserve">. We favored </w:t>
      </w:r>
      <w:r w:rsidR="00B82859">
        <w:t>binding 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 isotherm every 0.5 °C from 20 to 80 °C (Figure 2B)</w:t>
      </w:r>
      <w:r w:rsidR="00497010">
        <w:t>.</w:t>
      </w:r>
    </w:p>
    <w:p w14:paraId="466A7A6E" w14:textId="4C8BDF81"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allows facile conversion of raw data to folding energies (see Methods for details). MeltR calculates folding energies using two Van’t Hoff methods: (1) directly fitting a Van’t Hoff plot as a function of temperature (Figure 3C) and (2) globally fitting raw fluorescence emission to SI equation X (SI table 5). Errors in the main text are reported 1.5% in terms of the ΔG</w:t>
      </w:r>
      <w:r w:rsidRPr="00935500">
        <w:rPr>
          <w:vertAlign w:val="superscript"/>
        </w:rPr>
        <w:t>°</w:t>
      </w:r>
      <w:r w:rsidRPr="00935500">
        <w:rPr>
          <w:vertAlign w:val="subscript"/>
        </w:rPr>
        <w:t>37</w:t>
      </w:r>
      <w:r w:rsidRPr="00935500">
        <w:t xml:space="preserve"> and a detailed error analysis is in the methods</w:t>
      </w:r>
    </w:p>
    <w:p w14:paraId="7DE7A805" w14:textId="77777777" w:rsidR="00935500" w:rsidRPr="00D84587" w:rsidRDefault="00935500" w:rsidP="0034482F">
      <w:pPr>
        <w:pStyle w:val="TAMainText"/>
        <w:rPr>
          <w:b/>
          <w:bCs/>
        </w:rPr>
      </w:pPr>
      <w:r w:rsidRPr="00D84587">
        <w:rPr>
          <w:b/>
          <w:bCs/>
        </w:rPr>
        <w:t>Eco80 thermodynamically destabilizes RNA helices</w:t>
      </w:r>
    </w:p>
    <w:p w14:paraId="3B25D4C2" w14:textId="216D34DA"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p>
    <w:p w14:paraId="355FE394" w14:textId="290D6EC7" w:rsidR="00935500" w:rsidRPr="00935500" w:rsidRDefault="00935500" w:rsidP="0034482F">
      <w:pPr>
        <w:pStyle w:val="TAMainText"/>
      </w:pPr>
      <w:r w:rsidRPr="00935500">
        <w:lastRenderedPageBreak/>
        <w:t>All five representative helices were significantly destabilized in Eco80 relative to the background monovalent condition, meaning the ΔΔG</w:t>
      </w:r>
      <w:r w:rsidRPr="00935500">
        <w:rPr>
          <w:vertAlign w:val="superscript"/>
        </w:rPr>
        <w:t>°</w:t>
      </w:r>
      <w:r w:rsidRPr="00935500">
        <w:rPr>
          <w:vertAlign w:val="subscript"/>
        </w:rPr>
        <w:t>37</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xml:space="preserve">. Thus, Eco80 destabilizes RNA </w:t>
      </w:r>
      <w:proofErr w:type="gramStart"/>
      <w:r w:rsidRPr="00935500">
        <w:t>helices</w:t>
      </w:r>
      <w:proofErr w:type="gramEnd"/>
      <w:r w:rsidRPr="00935500">
        <w:t xml:space="preserve"> but the underlying sequence dependence is not apparent.</w:t>
      </w:r>
    </w:p>
    <w:p w14:paraId="61EA1B3C" w14:textId="6D23B5D8" w:rsidR="000D035D" w:rsidRDefault="00935500" w:rsidP="0034482F">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-chelating metabolites separately. NTPCM, which is comprised of strong Mg</w:t>
      </w:r>
      <w:r w:rsidRPr="00935500">
        <w:rPr>
          <w:vertAlign w:val="superscript"/>
        </w:rPr>
        <w:t>2+</w:t>
      </w:r>
      <w:r w:rsidRPr="00935500">
        <w:t>-</w:t>
      </w:r>
      <w:r w:rsidRPr="00935500">
        <w:t>chelating metabolites, consistently destabilized RNA helices (Figure 2D), by 0.32 to 0.60 kcal/mol (Table 3). The destabilizing effect of Eco80 appears to be related to the AU content of the helix with destabilization increasing linearly from +0.32 kcal/mol at 25% AU content to 0.60 kcal/mol at 75% AU content /</w:t>
      </w:r>
      <w:proofErr w:type="gramStart"/>
      <w:r w:rsidRPr="00935500">
        <w:t>%(</w:t>
      </w:r>
      <w:proofErr w:type="gramEnd"/>
      <w:r w:rsidRPr="00935500">
        <w:t>R</w:t>
      </w:r>
      <w:r w:rsidRPr="00935500">
        <w:rPr>
          <w:vertAlign w:val="superscript"/>
        </w:rPr>
        <w:t>2</w:t>
      </w:r>
      <w:r w:rsidRPr="00935500">
        <w:t xml:space="preserve"> = 0.99, SI figure 4)</w:t>
      </w:r>
      <w:r w:rsidR="000D035D">
        <w:t>.</w:t>
      </w:r>
    </w:p>
    <w:p w14:paraId="0E0412A3" w14:textId="77777777" w:rsidR="000D035D" w:rsidRDefault="00935500" w:rsidP="000D035D">
      <w:pPr>
        <w:pStyle w:val="TAMainText"/>
      </w:pPr>
      <w:r w:rsidRPr="00935500">
        <w:t>In contrast, WMCM, which is composed of weak Mg</w:t>
      </w:r>
      <w:r w:rsidRPr="00935500">
        <w:rPr>
          <w:vertAlign w:val="superscript"/>
        </w:rPr>
        <w:t>2+</w:t>
      </w:r>
      <w:r w:rsidRPr="00935500">
        <w:t>-chelating metabolites, destabilized, had no effect, or stabilized RNA helices in a fashion that did not depend on AU content (Figure 2D, Table 3). Similar to Eco80, the sequence dependence of stabilization or destabilization is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486"/>
        <w:gridCol w:w="1487"/>
        <w:gridCol w:w="1487"/>
        <w:gridCol w:w="1487"/>
        <w:gridCol w:w="1487"/>
      </w:tblGrid>
      <w:tr w:rsidR="000D035D" w14:paraId="52B42311" w14:textId="77777777" w:rsidTr="00100E04">
        <w:trPr>
          <w:trHeight w:val="144"/>
        </w:trPr>
        <w:tc>
          <w:tcPr>
            <w:tcW w:w="1486"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w:t>
            </w:r>
            <w:proofErr w:type="gramStart"/>
            <w:r>
              <w:t>mol)</w:t>
            </w:r>
            <w:r>
              <w:rPr>
                <w:vertAlign w:val="superscript"/>
              </w:rPr>
              <w:t>c</w:t>
            </w:r>
            <w:proofErr w:type="gramEnd"/>
          </w:p>
        </w:tc>
      </w:tr>
      <w:tr w:rsidR="000D035D" w14:paraId="7950DEDC"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63B219A4" w14:textId="77777777" w:rsidR="000D035D" w:rsidRDefault="000D035D" w:rsidP="00100E04">
            <w:pPr>
              <w:pStyle w:val="TCTableBody"/>
              <w:jc w:val="center"/>
            </w:pPr>
            <w:proofErr w:type="gramStart"/>
            <w:r>
              <w:t>1:CGGAUGGC</w:t>
            </w:r>
            <w:proofErr w:type="gramEnd"/>
            <w:r>
              <w:t>/</w:t>
            </w:r>
            <w:r>
              <w:br/>
              <w:t xml:space="preserve"> </w:t>
            </w:r>
            <w:commentRangeStart w:id="9"/>
            <w:commentRangeStart w:id="10"/>
            <w:r>
              <w:t>GCCAUCCG</w:t>
            </w:r>
            <w:commentRangeEnd w:id="9"/>
            <w:r>
              <w:rPr>
                <w:rStyle w:val="CommentReference"/>
                <w:rFonts w:cs="Mangal"/>
              </w:rPr>
              <w:commentReference w:id="9"/>
            </w:r>
            <w:commentRangeEnd w:id="10"/>
            <w:r>
              <w:rPr>
                <w:rStyle w:val="CommentReference"/>
                <w:rFonts w:cs="Mangal"/>
              </w:rPr>
              <w:commentReference w:id="10"/>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1"/>
            <w:commentRangeStart w:id="12"/>
            <w:r>
              <w:t>2 mM free</w:t>
            </w:r>
            <w:commentRangeEnd w:id="11"/>
            <w:r>
              <w:rPr>
                <w:rStyle w:val="CommentReference"/>
                <w:rFonts w:cs="Mangal"/>
              </w:rPr>
              <w:commentReference w:id="11"/>
            </w:r>
            <w:commentRangeEnd w:id="12"/>
            <w:r>
              <w:rPr>
                <w:rStyle w:val="CommentReference"/>
                <w:rFonts w:cs="Mangal"/>
              </w:rPr>
              <w:commentReference w:id="12"/>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48F5318B" w14:textId="77777777" w:rsidR="000D035D" w:rsidRDefault="000D035D" w:rsidP="00100E04">
            <w:pPr>
              <w:pStyle w:val="TCTableBody"/>
              <w:jc w:val="center"/>
            </w:pPr>
            <w:r>
              <w:t>2: CGCAUCCU/</w:t>
            </w:r>
            <w:r>
              <w:br/>
              <w:t xml:space="preserve">  AGGAUGCG</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22A1920A" w14:textId="77777777" w:rsidR="000D035D" w:rsidRDefault="000D035D" w:rsidP="00100E04">
            <w:pPr>
              <w:pStyle w:val="TCTableBody"/>
              <w:jc w:val="center"/>
            </w:pPr>
            <w:r>
              <w:t>3: CGUAUGUA/</w:t>
            </w:r>
            <w:r>
              <w:br/>
              <w:t xml:space="preserve">  UACAUACG</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2D5349C7" w14:textId="77777777" w:rsidR="000D035D" w:rsidRDefault="000D035D" w:rsidP="00100E04">
            <w:pPr>
              <w:pStyle w:val="TCTableBody"/>
              <w:jc w:val="center"/>
            </w:pPr>
            <w:r>
              <w:t>4: CCAUAUCA/</w:t>
            </w:r>
            <w:r>
              <w:br/>
              <w:t xml:space="preserve">   UGAUAUGG</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30636AE7" w14:textId="77777777" w:rsidR="000D035D" w:rsidRDefault="000D035D" w:rsidP="00100E04">
            <w:pPr>
              <w:pStyle w:val="TCTableBody"/>
              <w:jc w:val="center"/>
            </w:pPr>
            <w:proofErr w:type="gramStart"/>
            <w:r>
              <w:t>5:CCAUAUUA</w:t>
            </w:r>
            <w:proofErr w:type="gramEnd"/>
            <w:r>
              <w:t>/</w:t>
            </w:r>
            <w:r>
              <w:br/>
              <w:t xml:space="preserve"> UAAUAUGG</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77777777" w:rsidR="000D035D" w:rsidRDefault="000D035D" w:rsidP="000D035D">
      <w:pPr>
        <w:pStyle w:val="TCTableBody"/>
        <w:sectPr w:rsidR="000D035D" w:rsidSect="00F72A71">
          <w:type w:val="continuous"/>
          <w:pgSz w:w="12240" w:h="15840"/>
          <w:pgMar w:top="720" w:right="2160" w:bottom="720" w:left="1980" w:header="720" w:footer="720" w:gutter="0"/>
          <w:cols w:space="461"/>
        </w:sectPr>
      </w:pPr>
      <w:r>
        <w:rPr>
          <w:vertAlign w:val="superscript"/>
        </w:rPr>
        <w:t xml:space="preserve"> </w:t>
      </w:r>
    </w:p>
    <w:p w14:paraId="0649D338" w14:textId="5CEBDD5D" w:rsidR="00A87C4F" w:rsidRDefault="00A87C4F" w:rsidP="0034482F">
      <w:pPr>
        <w:pStyle w:val="TAMainText"/>
      </w:pPr>
    </w:p>
    <w:p w14:paraId="3940B80F" w14:textId="67CB88BE" w:rsidR="00935500" w:rsidRPr="00935500" w:rsidRDefault="00935500" w:rsidP="0034482F">
      <w:pPr>
        <w:pStyle w:val="TAMainText"/>
      </w:pPr>
      <w:r w:rsidRPr="00935500">
        <w:t>Overall, the net effect of Eco80 on RNA helices is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carries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3C3366F6"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Pr="00935500">
        <w:t xml:space="preserve"> 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w:t>
      </w:r>
      <w:r w:rsidRPr="00935500">
        <w:lastRenderedPageBreak/>
        <w:t>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Pr="00935500">
        <w:rPr>
          <w:vertAlign w:val="superscript"/>
        </w:rPr>
        <w:t>32</w:t>
      </w:r>
      <w:r w:rsidRPr="00935500">
        <w:t>P RNAs are incubated at 37 °C for about 90 h to facilitate in-line cleavage, with time points taken regularly. RNA fragments are then fractionated on a denaturing PAGE gel (SI figure 5), providing single nucleotide resolution of degradation rates measured by the increase in counts with time for a given band. In-line degradation rates for biological RNA in Eco80, NTPCM, and WMCM with enough total Mg</w:t>
      </w:r>
      <w:r w:rsidRPr="00935500">
        <w:rPr>
          <w:vertAlign w:val="superscript"/>
        </w:rPr>
        <w:t>2+</w:t>
      </w:r>
      <w:r w:rsidRPr="00935500">
        <w:t xml:space="preserve"> to maintain 2 mM free Mg</w:t>
      </w:r>
      <w:r w:rsidRPr="00935500">
        <w:rPr>
          <w:vertAlign w:val="superscript"/>
        </w:rPr>
        <w:t>2+</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condition. 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5B234F00" w:rsidR="00150B32" w:rsidRPr="00935500" w:rsidRDefault="00935500" w:rsidP="000D035D">
      <w:pPr>
        <w:pStyle w:val="TAMainText"/>
      </w:pPr>
      <w:r w:rsidRPr="00935500">
        <w:t>We first determined in-line degradation rates for the guanine riboswitch aptamer with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structural information provided by X-ray crystal structures of the ligand bound aptamer is relevant for a structural analysis of degradation rates.</w:t>
      </w:r>
    </w:p>
    <w:p w14:paraId="7FC0CCE6" w14:textId="33C70FFC"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3"/>
      <w:commentRangeStart w:id="14"/>
      <w:commentRangeStart w:id="15"/>
      <w:r w:rsidRPr="00935500">
        <w:t xml:space="preserve"> junction</w:t>
      </w:r>
      <w:commentRangeEnd w:id="13"/>
      <w:r w:rsidRPr="00935500">
        <w:commentReference w:id="13"/>
      </w:r>
      <w:commentRangeEnd w:id="14"/>
      <w:r w:rsidRPr="00935500">
        <w:commentReference w:id="14"/>
      </w:r>
      <w:r w:rsidRPr="00935500">
        <w:t xml:space="preserve"> </w:t>
      </w:r>
      <w:commentRangeEnd w:id="15"/>
      <w:r w:rsidRPr="00935500">
        <w:commentReference w:id="15"/>
      </w:r>
      <w:r w:rsidRPr="00935500">
        <w:t>(Figure 3C). This pattern is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condition is dependent on the presence of Mg</w:t>
      </w:r>
      <w:r w:rsidRPr="00935500">
        <w:rPr>
          <w:vertAlign w:val="superscript"/>
        </w:rPr>
        <w:t>2+</w:t>
      </w:r>
      <w:r w:rsidRPr="00935500">
        <w:t>-OH</w:t>
      </w:r>
      <w:r w:rsidRPr="00935500">
        <w:rPr>
          <w:vertAlign w:val="superscript"/>
        </w:rPr>
        <w:t xml:space="preserve">- </w:t>
      </w:r>
      <w:r w:rsidRPr="00935500">
        <w:t xml:space="preserve">complexes (SI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 one another, indicating that the structure of the guanine aptamer is folded and similar between conditions (SI figure 7A). Guinier analysis and p(r) analysis, where the maximum is the radius of gyration (SI figure 7B), and </w:t>
      </w:r>
      <w:proofErr w:type="spellStart"/>
      <w:r w:rsidRPr="00935500">
        <w:t>porod</w:t>
      </w:r>
      <w:proofErr w:type="spellEnd"/>
      <w:r w:rsidRPr="00935500">
        <w:t xml:space="preserve"> analysis, reveal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in comparison to other solution conditions (SI table 6). This compaction is similar to the previously reported increased stability and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are consistent with the crystal structure of the guanine riboswitch </w:t>
      </w:r>
      <w:r w:rsidRPr="00935500">
        <w:t>aptamer in every condition (SI figure 7C-G). Thus, decreased degradation rates in the 2 mM free, Eco80, NTPCM, and WMCM conditions in comparison to the 25 mM free condition is likely due to a reduction in the availability Mg</w:t>
      </w:r>
      <w:r w:rsidRPr="00935500">
        <w:rPr>
          <w:vertAlign w:val="superscript"/>
        </w:rPr>
        <w:t>2+</w:t>
      </w:r>
      <w:r w:rsidRPr="00935500">
        <w:t>-OH</w:t>
      </w:r>
      <w:r w:rsidRPr="00935500">
        <w:rPr>
          <w:vertAlign w:val="superscript"/>
        </w:rPr>
        <w:t xml:space="preserve">- </w:t>
      </w:r>
      <w:r w:rsidRPr="00935500">
        <w:t>complexes caused by chelation of Mg</w:t>
      </w:r>
      <w:r w:rsidRPr="00935500">
        <w:rPr>
          <w:vertAlign w:val="superscript"/>
        </w:rPr>
        <w:t>2+</w:t>
      </w:r>
      <w:r w:rsidRPr="00935500">
        <w:t xml:space="preserve"> by metabolites rather than large changes in RNA structure.</w:t>
      </w:r>
    </w:p>
    <w:p w14:paraId="07B07FC8" w14:textId="4E7FD331" w:rsidR="000D035D" w:rsidRDefault="000D035D" w:rsidP="000D035D">
      <w:pPr>
        <w:pStyle w:val="TAMainText"/>
      </w:pPr>
      <w:r>
        <w:rPr>
          <w:noProof/>
        </w:rPr>
        <w:drawing>
          <wp:inline distT="0" distB="0" distL="0" distR="0" wp14:anchorId="18D5E1DC" wp14:editId="38E6C343">
            <wp:extent cx="3044825" cy="3608705"/>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3044825" cy="3608705"/>
                    </a:xfrm>
                    <a:prstGeom prst="rect">
                      <a:avLst/>
                    </a:prstGeom>
                  </pic:spPr>
                </pic:pic>
              </a:graphicData>
            </a:graphic>
          </wp:inline>
        </w:drawing>
      </w:r>
    </w:p>
    <w:p w14:paraId="03023B7B" w14:textId="1048E2C8" w:rsidR="000D035D" w:rsidRPr="00FD5268" w:rsidRDefault="000D035D" w:rsidP="000D035D">
      <w:pPr>
        <w:pStyle w:val="VAFigureCaption"/>
        <w:rPr>
          <w:b w:val="0"/>
          <w:bCs w:val="0"/>
        </w:rPr>
      </w:pPr>
      <w:r w:rsidRPr="00150B32">
        <w:t xml:space="preserve">Figure </w:t>
      </w:r>
      <w:proofErr w:type="gramStart"/>
      <w:r w:rsidRPr="00FD5268">
        <w:rPr>
          <w:b w:val="0"/>
          <w:bCs w:val="0"/>
        </w:rPr>
        <w:t xml:space="preserve">3  </w:t>
      </w:r>
      <w:r w:rsidRPr="00FD5268">
        <w:rPr>
          <w:b w:val="0"/>
          <w:bCs w:val="0"/>
          <w:i/>
          <w:iCs/>
        </w:rPr>
        <w:t>E.</w:t>
      </w:r>
      <w:proofErr w:type="gramEnd"/>
      <w:r w:rsidRPr="00FD5268">
        <w:rPr>
          <w:b w:val="0"/>
          <w:bCs w:val="0"/>
          <w:i/>
          <w:iCs/>
        </w:rPr>
        <w:t xml:space="preserve"> coli </w:t>
      </w:r>
      <w:r w:rsidRPr="00FD5268">
        <w:rPr>
          <w:b w:val="0"/>
          <w:bCs w:val="0"/>
        </w:rPr>
        <w:t>metabolite and Mg</w:t>
      </w:r>
      <w:r w:rsidRPr="00FD5268">
        <w:rPr>
          <w:b w:val="0"/>
          <w:bCs w:val="0"/>
          <w:vertAlign w:val="superscript"/>
        </w:rPr>
        <w:t xml:space="preserve">2+  </w:t>
      </w:r>
      <w:r w:rsidRPr="00FD5268">
        <w:rPr>
          <w:b w:val="0"/>
          <w:bCs w:val="0"/>
        </w:rPr>
        <w:t>mixtures stabilize the chemical structure of RNA.</w:t>
      </w:r>
      <w:r w:rsidRPr="00150B32">
        <w:t xml:space="preserve"> (A) </w:t>
      </w:r>
      <w:r w:rsidRPr="00FD5268">
        <w:rPr>
          <w:b w:val="0"/>
          <w:bCs w:val="0"/>
        </w:rPr>
        <w:t>In-line RNA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 represented by colored lines.</w:t>
      </w:r>
      <w:r w:rsidRPr="00150B32">
        <w:t xml:space="preserve"> (C) </w:t>
      </w:r>
      <w:r w:rsidRPr="00FD5268">
        <w:rPr>
          <w:b w:val="0"/>
          <w:bCs w:val="0"/>
        </w:rPr>
        <w:t xml:space="preserve">Degradation rate, by the increase in counts as a function of time at each residue in different solution conditions as a function of location in the RNA. </w:t>
      </w:r>
      <w:commentRangeStart w:id="16"/>
      <w:commentRangeStart w:id="17"/>
      <w:r w:rsidRPr="00150B32">
        <w:t>(D-</w:t>
      </w:r>
      <w:commentRangeEnd w:id="16"/>
      <w:commentRangeEnd w:id="17"/>
      <w:r w:rsidRPr="00150B32">
        <w:t>F)</w:t>
      </w:r>
      <w:r w:rsidRPr="00150B32">
        <w:commentReference w:id="16"/>
      </w:r>
      <w:r w:rsidRPr="00150B32">
        <w:commentReference w:id="17"/>
      </w:r>
      <w:r w:rsidRPr="00150B32">
        <w:t xml:space="preserve"> </w:t>
      </w:r>
      <w:r w:rsidRPr="00FD5268">
        <w:rPr>
          <w:b w:val="0"/>
          <w:bCs w:val="0"/>
        </w:rPr>
        <w:t>Estimated increase in counts as a function of time, in different conditions grouped by the structure each nucleotide, based on analysis of crystal structures and covariation models, into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w:t>
      </w:r>
    </w:p>
    <w:p w14:paraId="2281866C" w14:textId="1D0140FE"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figure 8, 9, &amp; 10). We inspected the crystal structure of these two RNAs plus the original guanine aptamer and manually </w:t>
      </w:r>
      <w:commentRangeStart w:id="18"/>
      <w:r w:rsidRPr="00935500">
        <w:t xml:space="preserve">classified </w:t>
      </w:r>
      <w:commentRangeEnd w:id="18"/>
      <w:r w:rsidRPr="00935500">
        <w:commentReference w:id="18"/>
      </w:r>
      <w:r w:rsidRPr="00935500">
        <w:t>each residue by manual inspection,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77777777" w:rsidR="00935500" w:rsidRPr="00935500" w:rsidRDefault="00935500" w:rsidP="0034482F">
      <w:pPr>
        <w:pStyle w:val="TAMainText"/>
      </w:pPr>
      <w:r w:rsidRPr="00935500">
        <w:lastRenderedPageBreak/>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Mg</w:t>
      </w:r>
      <w:r w:rsidRPr="00935500">
        <w:rPr>
          <w:vertAlign w:val="superscript"/>
        </w:rPr>
        <w:t>2+</w:t>
      </w:r>
      <w:r w:rsidRPr="00935500">
        <w:t xml:space="preserve"> mediated degradation in flexible regions that are susceptible to Mg</w:t>
      </w:r>
      <w:r w:rsidRPr="00935500">
        <w:rPr>
          <w:vertAlign w:val="superscript"/>
        </w:rPr>
        <w:t>2+</w:t>
      </w:r>
      <w:r w:rsidRPr="00935500">
        <w:t>OH</w:t>
      </w:r>
      <w:r w:rsidRPr="00935500">
        <w:rPr>
          <w:vertAlign w:val="superscript"/>
        </w:rPr>
        <w:t>-</w:t>
      </w:r>
      <w:r w:rsidRPr="00935500">
        <w:t xml:space="preserve"> mediated hydrolysis by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77777777" w:rsidR="00935500" w:rsidRPr="00935500" w:rsidRDefault="00935500" w:rsidP="0034482F">
      <w:pPr>
        <w:pStyle w:val="TAMainText"/>
      </w:pPr>
      <w:r w:rsidRPr="00935500">
        <w:t>We repeated our in-line degradation assay with the cleaved-CPEB3 ribozyme and yeast tRNA</w:t>
      </w:r>
      <w:r w:rsidRPr="00935500">
        <w:rPr>
          <w:vertAlign w:val="superscript"/>
        </w:rPr>
        <w:t>phe</w:t>
      </w:r>
      <w:r w:rsidRPr="00935500">
        <w:t>, to test whether the reduction of Mg</w:t>
      </w:r>
      <w:r w:rsidRPr="00935500">
        <w:rPr>
          <w:vertAlign w:val="superscript"/>
        </w:rPr>
        <w:t>2+</w:t>
      </w:r>
      <w:r w:rsidRPr="00935500">
        <w:t xml:space="preserve"> mediated 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are partially dependent on the strength of Mg</w:t>
      </w:r>
      <w:r w:rsidRPr="00935500">
        <w:rPr>
          <w:vertAlign w:val="superscript"/>
        </w:rPr>
        <w:t>2+</w:t>
      </w:r>
      <w:r w:rsidRPr="00935500">
        <w:t xml:space="preserve"> chelation. Likewise, the degradation rates for residues that are predicted to participate in </w:t>
      </w:r>
      <w:proofErr w:type="gramStart"/>
      <w:r w:rsidRPr="00935500">
        <w:t>a non-canonical tertiary contacts</w:t>
      </w:r>
      <w:proofErr w:type="gramEnd"/>
      <w:r w:rsidRPr="00935500">
        <w:t xml:space="preserve"> were reduced in 2 mM free Mg</w:t>
      </w:r>
      <w:r w:rsidRPr="00935500">
        <w:rPr>
          <w:vertAlign w:val="superscript"/>
        </w:rPr>
        <w:t>2+</w:t>
      </w:r>
      <w:r w:rsidRPr="00935500">
        <w:t>, Eco80, and NTPCM but not WMCM, in comparison to the 25 mM free Mg</w:t>
      </w:r>
      <w:r w:rsidRPr="00935500">
        <w:rPr>
          <w:vertAlign w:val="superscript"/>
        </w:rPr>
        <w:t>2+</w:t>
      </w:r>
      <w:r w:rsidRPr="00935500">
        <w:t xml:space="preserve"> condition, further indicating a that degradation rates are partially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0CD251FE"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9D</w:t>
      </w:r>
      <w:r w:rsidR="00FD5268">
        <w:t xml:space="preserve">). </w:t>
      </w:r>
      <w:r w:rsidRPr="00935500">
        <w:t>Single stranded nucleotides, mostly from the anticodon loop showed reduced degradation rates in the in the 2 mM free Mg</w:t>
      </w:r>
      <w:r w:rsidRPr="00935500">
        <w:rPr>
          <w:vertAlign w:val="superscript"/>
        </w:rPr>
        <w:t>2+</w:t>
      </w:r>
      <w:r w:rsidRPr="00935500">
        <w:t>,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base pairs in the guanine riboswitch aptamer and the CPEB3 ribozyme. One possible explanation is that the tertiary structure of tRNA</w:t>
      </w:r>
      <w:r w:rsidRPr="00935500">
        <w:rPr>
          <w:vertAlign w:val="superscript"/>
        </w:rPr>
        <w:t>phe</w:t>
      </w:r>
      <w:r w:rsidRPr="00935500">
        <w:t xml:space="preserve"> is less dynamic than the tertiary structure of the guanine riboswitch aptamer and the CPEB3 ribozyme, thus reducing the degradation rates in regions that participate in non-canonical tertiary interactions to the baseline levels observed for nucleotides participating in Watson-Crick base pairs.</w:t>
      </w:r>
    </w:p>
    <w:p w14:paraId="5F478EAD" w14:textId="28A5330F" w:rsidR="00935500" w:rsidRPr="00935500" w:rsidRDefault="00935500" w:rsidP="0034482F">
      <w:pPr>
        <w:pStyle w:val="TAMainText"/>
      </w:pPr>
      <w:r w:rsidRPr="00935500">
        <w:t>Thus, overall, the in-line degradation assay indicated that Eco80 and NTPCM protect RNA from Mg</w:t>
      </w:r>
      <w:r w:rsidRPr="00935500">
        <w:rPr>
          <w:vertAlign w:val="superscript"/>
        </w:rPr>
        <w:t>2+</w:t>
      </w:r>
      <w:r w:rsidRPr="00935500">
        <w:t>OH</w:t>
      </w:r>
      <w:r w:rsidRPr="00935500">
        <w:rPr>
          <w:vertAlign w:val="superscript"/>
        </w:rPr>
        <w:t>-</w:t>
      </w:r>
      <w:r w:rsidRPr="00935500">
        <w:t>-mediated degradation in structural regions that are susceptible to in-line cleavage, even though both artificial cytoplasm’s have relatively high total concentrations of total Mg</w:t>
      </w:r>
      <w:r w:rsidRPr="00935500">
        <w:rPr>
          <w:vertAlign w:val="superscript"/>
        </w:rPr>
        <w:t>2+</w:t>
      </w:r>
      <w:r w:rsidRPr="00935500">
        <w:t xml:space="preserve">. WMCM shows an intermediate effect between the high degradation </w:t>
      </w:r>
      <w:r w:rsidRPr="00935500">
        <w:t>rates in susceptible regions exhibited the 25 mM free Mg</w:t>
      </w:r>
      <w:r w:rsidRPr="00935500">
        <w:rPr>
          <w:vertAlign w:val="superscript"/>
        </w:rPr>
        <w:t>2+</w:t>
      </w:r>
      <w:r w:rsidRPr="00935500">
        <w:t xml:space="preserve"> condition and the low degradation rates in susceptible regions exhibited by 2 mM free Mg2+, Eco80, and NTPCM, indicating that degradation rates are dependent on Mg</w:t>
      </w:r>
      <w:r w:rsidRPr="00935500">
        <w:rPr>
          <w:vertAlign w:val="superscript"/>
        </w:rPr>
        <w:t>2+</w:t>
      </w:r>
      <w:r w:rsidRPr="00935500">
        <w:t xml:space="preserve"> chelation strength (see Discussion).</w:t>
      </w:r>
    </w:p>
    <w:p w14:paraId="57396980" w14:textId="77777777" w:rsidR="00935500" w:rsidRPr="007167D6" w:rsidRDefault="00935500" w:rsidP="0034482F">
      <w:pPr>
        <w:pStyle w:val="TAMainText"/>
        <w:rPr>
          <w:b/>
          <w:bCs/>
        </w:rPr>
      </w:pPr>
      <w:r w:rsidRPr="007167D6">
        <w:rPr>
          <w:b/>
          <w:bCs/>
        </w:rPr>
        <w:t>Eco80 supports RNA catalysis</w:t>
      </w:r>
    </w:p>
    <w:p w14:paraId="5091277E" w14:textId="3307763C" w:rsidR="00935500" w:rsidRDefault="00935500" w:rsidP="0034482F">
      <w:pPr>
        <w:pStyle w:val="TAMainText"/>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 ribozyme catalysis is enhanced by about </w:t>
      </w:r>
      <w:commentRangeStart w:id="19"/>
      <w:commentRangeStart w:id="20"/>
      <w:r w:rsidRPr="00935500">
        <w:t>1.6-fold by 2 mM free Mg</w:t>
      </w:r>
      <w:r w:rsidRPr="00935500">
        <w:rPr>
          <w:vertAlign w:val="superscript"/>
        </w:rPr>
        <w:t>2+</w:t>
      </w:r>
      <w:r w:rsidRPr="00935500">
        <w:t xml:space="preserve"> in solution with an estimated 11.3 mM glutamate-chelated Mg2+,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19"/>
      <w:r w:rsidRPr="00935500">
        <w:commentReference w:id="19"/>
      </w:r>
      <w:commentRangeEnd w:id="20"/>
      <w:r w:rsidRPr="00935500">
        <w:commentReference w:id="20"/>
      </w:r>
      <w:r w:rsidRPr="00935500">
        <w:t>Thus, we also hypothesized that Eco80 metabolites would also promote CPEB3 catalysis.</w:t>
      </w:r>
    </w:p>
    <w:p w14:paraId="6BA4FE5D" w14:textId="6D67918F"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 Briefly, we purified full length CPEB3 ribozyme (Figure 4A), incubated CPEB3 in artificial cytoplasm, fractionated time points on a denaturing acrylamide gel, and calculated the fraction cleaved from the relative intensity of cleaved and un-cleaved RNA bands (SI Figure 11). Fraction cleaved as a function of time was fit to a single exponential equation to estimate the reaction rate constant (Figure 4B).</w:t>
      </w:r>
    </w:p>
    <w:p w14:paraId="33BF1DB6" w14:textId="1A9D6314"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w:t>
      </w:r>
      <w:proofErr w:type="gramStart"/>
      <w:r w:rsidRPr="00935500">
        <w:t>1.33 fold</w:t>
      </w:r>
      <w:proofErr w:type="gramEnd"/>
      <w:r w:rsidRPr="00935500">
        <w:t xml:space="preserve"> in WMCM, similar to the enhancement observed for glutamate-chelated Mg</w:t>
      </w:r>
      <w:r w:rsidRPr="00935500">
        <w:rPr>
          <w:vertAlign w:val="superscript"/>
        </w:rPr>
        <w:t>2+</w:t>
      </w:r>
      <w:r w:rsidRPr="00935500">
        <w:t>. In summary, Eco80 supports RNA catalysis but does not enhance catalysis in comparison to the 2 mM free Mg</w:t>
      </w:r>
      <w:r w:rsidRPr="00935500">
        <w:rPr>
          <w:vertAlign w:val="superscript"/>
        </w:rPr>
        <w:t>2+</w:t>
      </w:r>
      <w:r w:rsidRPr="00935500">
        <w:t xml:space="preserve"> condition. CPEB3 reaction rates in Eco80 are between the rates in WMCM and NTPCM. WMCM likely has exposed Mg</w:t>
      </w:r>
      <w:r w:rsidRPr="00935500">
        <w:rPr>
          <w:vertAlign w:val="superscript"/>
        </w:rPr>
        <w:t>2+</w:t>
      </w:r>
      <w:r w:rsidRPr="00935500">
        <w:t xml:space="preserve"> to help fold the RNA, while NTPCM does not, and moreover may denature the RNA as per Figure 2 (see Discussion).</w:t>
      </w:r>
    </w:p>
    <w:p w14:paraId="45E3A68F" w14:textId="6F3B4DC7"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9A3C0C">
        <w:t xml:space="preserve"> where CPEB3 exists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 a strong (NTP) or a weak Mg</w:t>
      </w:r>
      <w:r w:rsidRPr="00935500">
        <w:rPr>
          <w:vertAlign w:val="superscript"/>
        </w:rPr>
        <w:t>2+</w:t>
      </w:r>
      <w:r w:rsidRPr="00935500">
        <w:t xml:space="preserve"> chelator.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Mg2+ chelators. (Figure 4D). Thus, the 1.3-fold rate enhancement in WMCM in comparison to 2 mM free Mg</w:t>
      </w:r>
      <w:r w:rsidRPr="00935500">
        <w:rPr>
          <w:vertAlign w:val="superscript"/>
        </w:rPr>
        <w:t>2+</w:t>
      </w:r>
      <w:r w:rsidRPr="00935500">
        <w:t xml:space="preserve"> alone is likely more relevant to CPEB3 function in human cells than the rate </w:t>
      </w:r>
      <w:proofErr w:type="gramStart"/>
      <w:r w:rsidRPr="00935500">
        <w:t>decrease</w:t>
      </w:r>
      <w:proofErr w:type="gramEnd"/>
      <w:r w:rsidRPr="00935500">
        <w:t xml:space="preserve"> in Eco80.</w:t>
      </w:r>
    </w:p>
    <w:p w14:paraId="4796F326" w14:textId="23A4C274" w:rsidR="009A3C0C" w:rsidRDefault="009A3C0C" w:rsidP="009A3C0C">
      <w:pPr>
        <w:pStyle w:val="TAMainText"/>
      </w:pPr>
      <w:r>
        <w:rPr>
          <w:noProof/>
        </w:rPr>
        <w:lastRenderedPageBreak/>
        <w:drawing>
          <wp:inline distT="0" distB="0" distL="0" distR="0" wp14:anchorId="02C4B11D" wp14:editId="088E01D7">
            <wp:extent cx="3044825" cy="3690620"/>
            <wp:effectExtent l="0" t="0" r="317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3044825" cy="3690620"/>
                    </a:xfrm>
                    <a:prstGeom prst="rect">
                      <a:avLst/>
                    </a:prstGeom>
                  </pic:spPr>
                </pic:pic>
              </a:graphicData>
            </a:graphic>
          </wp:inline>
        </w:drawing>
      </w:r>
    </w:p>
    <w:p w14:paraId="0A7F100A" w14:textId="4AE9582A" w:rsidR="009A3C0C" w:rsidRPr="009A3C0C" w:rsidRDefault="009A3C0C" w:rsidP="009A3C0C">
      <w:pPr>
        <w:pStyle w:val="VAFigureCaption"/>
        <w:rPr>
          <w:b w:val="0"/>
          <w:bCs w:val="0"/>
        </w:rPr>
      </w:pPr>
      <w:r w:rsidRPr="007A6844">
        <w:t xml:space="preserve">Figure </w:t>
      </w:r>
      <w:proofErr w:type="gramStart"/>
      <w:r w:rsidRPr="007A6844">
        <w:rPr>
          <w:b w:val="0"/>
          <w:bCs w:val="0"/>
        </w:rPr>
        <w:t>4  E.</w:t>
      </w:r>
      <w:proofErr w:type="gramEnd"/>
      <w:r w:rsidRPr="007A6844">
        <w:rPr>
          <w:b w:val="0"/>
          <w:bCs w:val="0"/>
        </w:rPr>
        <w:t xml:space="preserve"> coli  metabolite and Mg</w:t>
      </w:r>
      <w:r w:rsidRPr="00EC5391">
        <w:rPr>
          <w:b w:val="0"/>
          <w:bCs w:val="0"/>
          <w:vertAlign w:val="superscript"/>
        </w:rPr>
        <w:t>2+</w:t>
      </w:r>
      <w:r w:rsidRPr="007A6844">
        <w:rPr>
          <w:b w:val="0"/>
          <w:bCs w:val="0"/>
        </w:rPr>
        <w:t xml:space="preserve">  mixtures support CPEB3 ribozyme catalysis. </w:t>
      </w:r>
      <w:r w:rsidRPr="007A6844">
        <w:t>(A)</w:t>
      </w:r>
      <w:r w:rsidRPr="007A6844">
        <w:rPr>
          <w:b w:val="0"/>
          <w:bCs w:val="0"/>
        </w:rPr>
        <w:t xml:space="preserve"> Secondary structure of the un-cleaved CPEB3 ribozyme with the 5’-cleavage </w:t>
      </w:r>
      <w:proofErr w:type="gramStart"/>
      <w:r w:rsidRPr="007A6844">
        <w:rPr>
          <w:b w:val="0"/>
          <w:bCs w:val="0"/>
        </w:rPr>
        <w:t>site</w:t>
      </w:r>
      <w:proofErr w:type="gramEnd"/>
      <w:r w:rsidRPr="007A6844">
        <w:rPr>
          <w:b w:val="0"/>
          <w:bCs w:val="0"/>
        </w:rPr>
        <w:t xml:space="preserve"> annotated.</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Pr="007A6844">
        <w:rPr>
          <w:b w:val="0"/>
          <w:bCs w:val="0"/>
        </w:rPr>
        <w:t xml:space="preserve">First order cleavage-reaction rate constant (k) for the CPEB3 ribozyme in different conditions. </w:t>
      </w:r>
      <w:proofErr w:type="spellStart"/>
      <w:r w:rsidRPr="007A6844">
        <w:rPr>
          <w:b w:val="0"/>
          <w:bCs w:val="0"/>
        </w:rPr>
        <w:t>krel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77777777" w:rsidR="00935500" w:rsidRPr="00935500" w:rsidRDefault="00935500" w:rsidP="0034482F">
      <w:pPr>
        <w:pStyle w:val="TAMainText"/>
      </w:pPr>
      <w:r w:rsidRPr="00935500">
        <w:t xml:space="preserve">In summary, we have used a bottom-up, </w:t>
      </w:r>
      <w:r w:rsidRPr="00935500">
        <w:rPr>
          <w:i/>
          <w:iCs/>
        </w:rPr>
        <w:t>aufbau</w:t>
      </w:r>
      <w:r w:rsidRPr="00935500">
        <w:t xml:space="preserve">, approach to create a complex but manageable artificial cytoplasm, termed Eco80, which encapsulates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22EA91E5"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w:t>
      </w:r>
      <w:r w:rsidRPr="00935500">
        <w:t xml:space="preserve">using </w:t>
      </w:r>
      <w:bookmarkStart w:id="21" w:name="_Hlk107912184"/>
      <w:r w:rsidRPr="00935500">
        <w:t xml:space="preserve">binding constants </w:t>
      </w:r>
      <w:bookmarkEnd w:id="21"/>
      <w:r w:rsidRPr="00935500">
        <w:t>require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provides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EC5391" w:rsidRPr="00935500">
        <w:t>apply</w:t>
      </w:r>
      <w:r w:rsidRPr="00935500">
        <w:t xml:space="preserve"> to other biological molecules.</w:t>
      </w:r>
    </w:p>
    <w:p w14:paraId="2C4B06F7" w14:textId="4ADCEE89"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2" w:name="_Hlk107915327"/>
      <w:r w:rsidRPr="00935500">
        <w:t>Mg</w:t>
      </w:r>
      <w:r w:rsidRPr="00935500">
        <w:rPr>
          <w:vertAlign w:val="superscript"/>
        </w:rPr>
        <w:t>2+</w:t>
      </w:r>
      <w:r w:rsidRPr="00935500">
        <w:t xml:space="preserve"> </w:t>
      </w:r>
      <w:bookmarkEnd w:id="22"/>
      <w:r w:rsidRPr="00935500">
        <w:t xml:space="preserve">change of 20 </w:t>
      </w:r>
      <w:proofErr w:type="spellStart"/>
      <w:r w:rsidRPr="00935500">
        <w:t>mM.</w:t>
      </w:r>
      <w:proofErr w:type="spellEnd"/>
      <w:r w:rsidRPr="00935500">
        <w:t xml:space="preserve"> This buffering effect is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increases the free Mg</w:t>
      </w:r>
      <w:r w:rsidRPr="00935500">
        <w:rPr>
          <w:vertAlign w:val="superscript"/>
        </w:rPr>
        <w:t>2+</w:t>
      </w:r>
      <w:r w:rsidRPr="00935500">
        <w:t xml:space="preserve"> concentration to ~10 </w:t>
      </w:r>
      <w:proofErr w:type="spellStart"/>
      <w:r w:rsidRPr="00935500">
        <w:t>mM.</w:t>
      </w:r>
      <w:proofErr w:type="spellEnd"/>
    </w:p>
    <w:p w14:paraId="0666BD18" w14:textId="151A87D0" w:rsidR="00935500" w:rsidRPr="00935500" w:rsidRDefault="00935500" w:rsidP="0034482F">
      <w:pPr>
        <w:pStyle w:val="TAMainText"/>
      </w:pPr>
      <w:bookmarkStart w:id="23" w:name="_Hlk108098159"/>
      <w:r w:rsidRPr="00935500">
        <w:t xml:space="preserve">Our thermodynamic analysis of RNA helices </w:t>
      </w:r>
      <w:bookmarkEnd w:id="23"/>
      <w:r w:rsidRPr="00935500">
        <w:t xml:space="preserve">in Eco80 indicates that the </w:t>
      </w:r>
      <w:r w:rsidRPr="00935500">
        <w:rPr>
          <w:i/>
          <w:iCs/>
        </w:rPr>
        <w:t>E. coli</w:t>
      </w:r>
      <w:r w:rsidRPr="00935500">
        <w:t xml:space="preserve"> metabolome has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favorable with the high density of negative charge in helical RNA. Thus, metabolites </w:t>
      </w:r>
      <w:r w:rsidR="00727E1C" w:rsidRPr="00935500">
        <w:t>destabilize</w:t>
      </w:r>
      <w:r w:rsidR="00727E1C" w:rsidRPr="00935500">
        <w:t xml:space="preserve"> </w:t>
      </w:r>
      <w:r w:rsidRPr="00935500">
        <w:t>heli</w:t>
      </w:r>
      <w:r w:rsidR="00727E1C">
        <w:t>ces</w:t>
      </w:r>
      <w:r w:rsidRPr="00935500">
        <w:t xml:space="preserve"> by favoring the unfolded state and </w:t>
      </w:r>
      <w:bookmarkStart w:id="24" w:name="_Hlk108097678"/>
      <w:r w:rsidRPr="00935500">
        <w:t>Mg</w:t>
      </w:r>
      <w:r w:rsidRPr="00935500">
        <w:rPr>
          <w:vertAlign w:val="superscript"/>
        </w:rPr>
        <w:t>2+</w:t>
      </w:r>
      <w:bookmarkEnd w:id="24"/>
      <w:r w:rsidRPr="00935500">
        <w:t xml:space="preserve"> stabilizes heli</w:t>
      </w:r>
      <w:r w:rsidR="00727E1C">
        <w:t>ces</w:t>
      </w:r>
      <w:r w:rsidRPr="00935500">
        <w:t xml:space="preserve"> by favoring the helical state (Figure 5C). The changes in helix formation energy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leading to a consistent destabilization of RNA helices (Figure 2D). In contrast, WMCM only weakly sequesters Mg</w:t>
      </w:r>
      <w:r w:rsidRPr="00935500">
        <w:rPr>
          <w:vertAlign w:val="superscript"/>
        </w:rPr>
        <w:t>2+</w:t>
      </w:r>
      <w:r w:rsidRPr="00935500">
        <w:t xml:space="preserve"> so that Mg</w:t>
      </w:r>
      <w:r w:rsidRPr="00935500">
        <w:rPr>
          <w:vertAlign w:val="superscript"/>
        </w:rPr>
        <w:t>2+</w:t>
      </w:r>
      <w:r w:rsidRPr="00935500">
        <w:t xml:space="preserve"> is available for favorable interactions with helices. This leads to the inconsistent destabilization/stabilization of RNA helices observed in WMCM</w:t>
      </w:r>
      <w:r w:rsidR="00BE629D">
        <w:t>, dependent on the relative strength of stabilizing Mg</w:t>
      </w:r>
      <w:r w:rsidR="00BE629D" w:rsidRPr="00BE629D">
        <w:rPr>
          <w:vertAlign w:val="superscript"/>
        </w:rPr>
        <w:t>2+</w:t>
      </w:r>
      <w:r w:rsidR="00BE629D">
        <w:t>-RNA interactions and destabilizing metabolite-RNA interactions</w:t>
      </w:r>
      <w:r w:rsidRPr="00935500">
        <w:t xml:space="preserve"> (Figure </w:t>
      </w:r>
      <w:r w:rsidR="00BE629D">
        <w:t>5C</w:t>
      </w:r>
      <w:r w:rsidRPr="00935500">
        <w:t>).</w:t>
      </w:r>
    </w:p>
    <w:p w14:paraId="4104F39C" w14:textId="285FDFE4" w:rsidR="00935500" w:rsidRPr="00935500" w:rsidRDefault="00935500" w:rsidP="0034482F">
      <w:pPr>
        <w:pStyle w:val="TAMainText"/>
      </w:pPr>
      <w:r w:rsidRPr="00935500">
        <w:t xml:space="preserve">NTPCM destabilizes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w:t>
      </w:r>
      <w:proofErr w:type="spellStart"/>
      <w:r w:rsidRPr="00935500">
        <w:t>quadruplexs</w:t>
      </w:r>
      <w:proofErr w:type="spellEnd"/>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composed of ATP, UTP, and dTTP (22.5 mM total versus 4.9 mM GTP). ATP, </w:t>
      </w:r>
      <w:r w:rsidRPr="00935500">
        <w:lastRenderedPageBreak/>
        <w:t>UTP, and dTTP are expected to form stronger hydrogen bonds with As and Us in the unfolded state of RNA, explaining the AU dependence of helix destabilization by NTPCM.</w:t>
      </w:r>
    </w:p>
    <w:p w14:paraId="2A06BDA4" w14:textId="62533923" w:rsidR="00183F17" w:rsidRDefault="00935500" w:rsidP="00183F17">
      <w:pPr>
        <w:pStyle w:val="TAMainText"/>
        <w:rPr>
          <w:noProof/>
        </w:rPr>
      </w:pPr>
      <w:r w:rsidRPr="00935500">
        <w:t xml:space="preserve">Our analysis of RNA degradation in Eco80 indicates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Mg</w:t>
      </w:r>
      <w:r w:rsidRPr="00935500">
        <w:rPr>
          <w:vertAlign w:val="superscript"/>
        </w:rPr>
        <w:t>2+</w:t>
      </w:r>
      <w:r w:rsidRPr="00935500">
        <w:t>-OH</w:t>
      </w:r>
      <w:r w:rsidRPr="00935500">
        <w:rPr>
          <w:vertAlign w:val="superscript"/>
        </w:rPr>
        <w:t>-</w:t>
      </w:r>
      <w:r w:rsidRPr="00935500">
        <w:t xml:space="preserve"> mediated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 chelated Mg</w:t>
      </w:r>
      <w:r w:rsidRPr="007C1108">
        <w:rPr>
          <w:vertAlign w:val="superscript"/>
        </w:rPr>
        <w:t>2+</w:t>
      </w:r>
      <w:r w:rsidRPr="00935500">
        <w:t>, and negligible for strong NTP-chelated Mg2+ (Figure 5D). Thus, RNA degradation reaction rates are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and degradation reaction rates are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19D20B43" w:rsidR="00183F17" w:rsidRDefault="00183F17" w:rsidP="00183F17">
      <w:pPr>
        <w:pStyle w:val="TAMainText"/>
      </w:pPr>
      <w:r>
        <w:rPr>
          <w:noProof/>
        </w:rPr>
        <w:drawing>
          <wp:inline distT="0" distB="0" distL="0" distR="0" wp14:anchorId="60CA9B73" wp14:editId="57BA7985">
            <wp:extent cx="2925714" cy="4114286"/>
            <wp:effectExtent l="0" t="0" r="8255" b="63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5714" cy="4114286"/>
                    </a:xfrm>
                    <a:prstGeom prst="rect">
                      <a:avLst/>
                    </a:prstGeom>
                  </pic:spPr>
                </pic:pic>
              </a:graphicData>
            </a:graphic>
          </wp:inline>
        </w:drawing>
      </w:r>
    </w:p>
    <w:p w14:paraId="5785E367" w14:textId="09F662E4" w:rsidR="00935500" w:rsidRPr="00935500" w:rsidRDefault="00183F17" w:rsidP="00183F17">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created with </w:t>
      </w:r>
      <w:proofErr w:type="spellStart"/>
      <w:r w:rsidRPr="009A3C0C">
        <w:rPr>
          <w:b w:val="0"/>
          <w:bCs w:val="0"/>
        </w:rPr>
        <w:t>PyMol</w:t>
      </w:r>
      <w:proofErr w:type="spellEnd"/>
      <w:r w:rsidRPr="009A3C0C">
        <w:rPr>
          <w:b w:val="0"/>
          <w:bCs w:val="0"/>
        </w:rPr>
        <w:t xml:space="preserve"> and </w:t>
      </w:r>
      <w:proofErr w:type="spellStart"/>
      <w:r w:rsidRPr="009A3C0C">
        <w:rPr>
          <w:b w:val="0"/>
          <w:bCs w:val="0"/>
        </w:rPr>
        <w:t>WAXSiS</w:t>
      </w:r>
      <w:proofErr w:type="spellEnd"/>
      <w:r w:rsidRPr="009A3C0C">
        <w:rPr>
          <w:b w:val="0"/>
          <w:bCs w:val="0"/>
        </w:rPr>
        <w:t xml:space="preserve">.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 RNA helix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 xml:space="preserve">Net effect of the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Mg2+ hydroxide species.</w:t>
      </w:r>
    </w:p>
    <w:p w14:paraId="14487CE5" w14:textId="1005E2BB" w:rsidR="00935500" w:rsidRDefault="00935500" w:rsidP="0034482F">
      <w:pPr>
        <w:pStyle w:val="TAMainText"/>
      </w:pPr>
      <w:r w:rsidRPr="00935500">
        <w:t>Our analysis of CPEB3 catalysis in Eco80 indicates that metabolite-Mg</w:t>
      </w:r>
      <w:r w:rsidRPr="00935500">
        <w:rPr>
          <w:vertAlign w:val="superscript"/>
        </w:rPr>
        <w:t>2+</w:t>
      </w:r>
      <w:r w:rsidRPr="00935500">
        <w:t xml:space="preserve"> mixtures support RNA catalysis. A previous study of hammerhead ribozyme catalysis in the presence of nucleotides found that reaction rates were enhanced by NDP chelated-Mg</w:t>
      </w:r>
      <w:r w:rsidRPr="00935500">
        <w:rPr>
          <w:vertAlign w:val="superscript"/>
        </w:rPr>
        <w:t>2+</w:t>
      </w:r>
      <w:r w:rsidRPr="00935500">
        <w:t>, a weakly-chelated Mg</w:t>
      </w:r>
      <w:r w:rsidRPr="00935500">
        <w:rPr>
          <w:vertAlign w:val="superscript"/>
        </w:rPr>
        <w:t>2+</w:t>
      </w:r>
      <w:r w:rsidRPr="00935500">
        <w:t xml:space="preserve"> species, and that NTP-chelated Mg</w:t>
      </w:r>
      <w:r w:rsidRPr="00935500">
        <w:rPr>
          <w:vertAlign w:val="superscript"/>
        </w:rPr>
        <w:t>2+</w:t>
      </w:r>
      <w:r w:rsidRPr="00935500">
        <w:t xml:space="preserve"> has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 that reduction CPEB3 catalysis is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3897C8CC" w:rsidR="00A66EDD" w:rsidRDefault="00935500" w:rsidP="0034482F">
      <w:pPr>
        <w:pStyle w:val="TAMainText"/>
      </w:pPr>
      <w:r w:rsidRPr="00935500">
        <w:t>Eco80 has opposing effects on RNA which reflect</w:t>
      </w:r>
      <w:r w:rsidR="00477F7D">
        <w:t>s</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in the biologically relevant metabolite mixture. </w:t>
      </w:r>
      <w:r w:rsidR="00477F7D">
        <w:t>T</w:t>
      </w:r>
      <w:r w:rsidRPr="00935500">
        <w:t xml:space="preserve">he effects of Eco80 reflects RNA function </w:t>
      </w:r>
      <w:r w:rsidRPr="00935500">
        <w:rPr>
          <w:i/>
          <w:iCs/>
        </w:rPr>
        <w:t>in vivo</w:t>
      </w:r>
      <w:r w:rsidRPr="00935500">
        <w:t xml:space="preserve"> and enhances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6079881F" w14:textId="3167FC88" w:rsidR="00453717" w:rsidRDefault="005D2065" w:rsidP="003E5207">
      <w:pPr>
        <w:pStyle w:val="StyleFACorrespondingAuthorFootnote7pt"/>
        <w:rPr>
          <w:rStyle w:val="FAAuthorInfoSubtitleChar"/>
        </w:rPr>
      </w:pPr>
      <w:r>
        <w:t>Any funds used to support the research of the manuscript should be placed here</w:t>
      </w:r>
      <w:r w:rsidR="00B71491">
        <w:t xml:space="preserve"> (per journal style)</w:t>
      </w:r>
      <w:r>
        <w:t>.</w:t>
      </w:r>
    </w:p>
    <w:p w14:paraId="611A118E" w14:textId="77777777" w:rsidR="007331FF" w:rsidRDefault="007331FF" w:rsidP="007331FF">
      <w:pPr>
        <w:pStyle w:val="TDAckTitle"/>
      </w:pPr>
      <w:r w:rsidRPr="00A71C00">
        <w:t>ACKNOWLEDGMENT</w:t>
      </w:r>
      <w:r w:rsidRPr="00BE533F">
        <w:t xml:space="preserve"> </w:t>
      </w:r>
    </w:p>
    <w:p w14:paraId="40204DE7" w14:textId="77777777" w:rsidR="007331FF" w:rsidRDefault="007331FF" w:rsidP="007331FF">
      <w:pPr>
        <w:pStyle w:val="TDAcknowledgments"/>
      </w:pPr>
      <w:r w:rsidRPr="00BE533F">
        <w:t>(Word Style "</w:t>
      </w:r>
      <w:proofErr w:type="spellStart"/>
      <w:r w:rsidRPr="00BE533F">
        <w:t>TD_Acknowledgments</w:t>
      </w:r>
      <w:proofErr w:type="spellEnd"/>
      <w:r w:rsidRPr="00BE533F">
        <w:t xml:space="preserve">"). </w:t>
      </w:r>
      <w:proofErr w:type="gramStart"/>
      <w:r w:rsidRPr="00BE533F">
        <w:t>Generally</w:t>
      </w:r>
      <w:proofErr w:type="gramEnd"/>
      <w:r w:rsidRPr="00BE533F">
        <w:t xml:space="preserve"> the last paragraph of the paper is the place to acknowledge people (dedications), places, and </w:t>
      </w:r>
      <w:r w:rsidRPr="00E46BD3">
        <w:t>financing (you may state grant numbers and sponsors here).</w:t>
      </w:r>
      <w:r w:rsidR="005329C7">
        <w:t xml:space="preserve">  Follow the journal’s guidelines on what to include in the Acknowledgement section.</w:t>
      </w:r>
    </w:p>
    <w:p w14:paraId="32595E2D" w14:textId="77777777" w:rsidR="00101D1F" w:rsidRDefault="00101D1F" w:rsidP="00101D1F">
      <w:pPr>
        <w:pStyle w:val="TDAckTitle"/>
      </w:pPr>
      <w:r>
        <w:t>ABBREVIATIONS</w:t>
      </w:r>
    </w:p>
    <w:p w14:paraId="297EB439" w14:textId="77777777" w:rsidR="00A66EDD" w:rsidRDefault="00101D1F" w:rsidP="00101D1F">
      <w:pPr>
        <w:pStyle w:val="TDAcknowledgments"/>
      </w:pPr>
      <w:r w:rsidRPr="00101D1F">
        <w:t>CCR2, CC chemokine receptor 2; CCL2, CC chemokine ligand 2; CCR5, CC chemokine receptor 5; TLC, thin layer chromatography.</w:t>
      </w:r>
    </w:p>
    <w:p w14:paraId="7CD4BA4E" w14:textId="74D6FD88" w:rsidR="00101D1F" w:rsidRDefault="00101D1F" w:rsidP="00101D1F">
      <w:pPr>
        <w:pStyle w:val="TDAckTitle"/>
      </w:pPr>
      <w:r>
        <w:lastRenderedPageBreak/>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w:t>
      </w:r>
      <w:proofErr w:type="spellStart"/>
      <w:r w:rsidRPr="00BB4B2F">
        <w:t>Steitz</w:t>
      </w:r>
      <w:proofErr w:type="spellEnd"/>
      <w:r w:rsidRPr="00BB4B2F">
        <w:t xml:space="preserve">,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w:t>
      </w:r>
      <w:proofErr w:type="spellStart"/>
      <w:r w:rsidRPr="00BB4B2F">
        <w:t>Su</w:t>
      </w:r>
      <w:proofErr w:type="spellEnd"/>
      <w:r w:rsidRPr="00BB4B2F">
        <w:t xml:space="preserve">,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r>
      <w:proofErr w:type="spellStart"/>
      <w:r w:rsidRPr="00BB4B2F">
        <w:t>Zubradt</w:t>
      </w:r>
      <w:proofErr w:type="spellEnd"/>
      <w:r w:rsidRPr="00BB4B2F">
        <w:t xml:space="preserve">, M.; Gupta, P.; Persad, S.; </w:t>
      </w:r>
      <w:proofErr w:type="spellStart"/>
      <w:r w:rsidRPr="00BB4B2F">
        <w:t>Lambowitz</w:t>
      </w:r>
      <w:proofErr w:type="spellEnd"/>
      <w:r w:rsidRPr="00BB4B2F">
        <w:t xml:space="preserve">, A. M.; Weissman, J. S.; </w:t>
      </w:r>
      <w:proofErr w:type="spellStart"/>
      <w:r w:rsidRPr="00BB4B2F">
        <w:t>Rouskin</w:t>
      </w:r>
      <w:proofErr w:type="spellEnd"/>
      <w:r w:rsidRPr="00BB4B2F">
        <w:t>, S. DMS-</w:t>
      </w:r>
      <w:proofErr w:type="spellStart"/>
      <w:r w:rsidRPr="00BB4B2F">
        <w:t>MaPseq</w:t>
      </w:r>
      <w:proofErr w:type="spellEnd"/>
      <w:r w:rsidRPr="00BB4B2F">
        <w:t xml:space="preserve">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w:t>
      </w:r>
      <w:proofErr w:type="spellStart"/>
      <w:r w:rsidRPr="00BB4B2F">
        <w:t>Malsick</w:t>
      </w:r>
      <w:proofErr w:type="spellEnd"/>
      <w:r w:rsidRPr="00BB4B2F">
        <w:t xml:space="preserve">, L. E.; Woo, J. Z.; Zhu, C.; Zhang, F.; </w:t>
      </w:r>
      <w:proofErr w:type="spellStart"/>
      <w:r w:rsidRPr="00BB4B2F">
        <w:t>Khandwala</w:t>
      </w:r>
      <w:proofErr w:type="spellEnd"/>
      <w:r w:rsidRPr="00BB4B2F">
        <w:t xml:space="preserve">, S.; </w:t>
      </w:r>
      <w:proofErr w:type="spellStart"/>
      <w:r w:rsidRPr="00BB4B2F">
        <w:t>Nyeo</w:t>
      </w:r>
      <w:proofErr w:type="spellEnd"/>
      <w:r w:rsidRPr="00BB4B2F">
        <w:t xml:space="preserve">, S. S. Y.; Sun, Y.; Guo, J. U.; Bathe, M.; </w:t>
      </w:r>
      <w:proofErr w:type="spellStart"/>
      <w:r w:rsidRPr="00BB4B2F">
        <w:t>Näär</w:t>
      </w:r>
      <w:proofErr w:type="spellEnd"/>
      <w:r w:rsidRPr="00BB4B2F">
        <w:t xml:space="preserve">, A.; Griffiths, A.; </w:t>
      </w:r>
      <w:proofErr w:type="spellStart"/>
      <w:r w:rsidRPr="00BB4B2F">
        <w:t>Rouskin</w:t>
      </w:r>
      <w:proofErr w:type="spellEnd"/>
      <w:r w:rsidRPr="00BB4B2F">
        <w:t xml:space="preserve">, S. Secondary Structural Ensembles of the SARS-CoV-2 RNA Genome in Infected Cells. </w:t>
      </w:r>
      <w:r w:rsidRPr="00BB4B2F">
        <w:rPr>
          <w:i/>
          <w:iCs/>
        </w:rPr>
        <w:t xml:space="preserve">Nat. </w:t>
      </w:r>
      <w:proofErr w:type="spellStart"/>
      <w:r w:rsidRPr="00BB4B2F">
        <w:rPr>
          <w:i/>
          <w:iCs/>
        </w:rPr>
        <w:t>Commun</w:t>
      </w:r>
      <w:proofErr w:type="spellEnd"/>
      <w:r w:rsidRPr="00BB4B2F">
        <w:rPr>
          <w:i/>
          <w:iCs/>
        </w:rPr>
        <w:t>.</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r>
      <w:proofErr w:type="spellStart"/>
      <w:r w:rsidRPr="00BB4B2F">
        <w:t>Leamy</w:t>
      </w:r>
      <w:proofErr w:type="spellEnd"/>
      <w:r w:rsidRPr="00BB4B2F">
        <w:t xml:space="preserve">, K. A.; Assmann, S. M.; Mathews, D. H.; Bevilacqua, P. C. Bridging the Gap between in Vitro and in Vivo RNA Folding. </w:t>
      </w:r>
      <w:r w:rsidRPr="00BB4B2F">
        <w:rPr>
          <w:i/>
          <w:iCs/>
        </w:rPr>
        <w:t xml:space="preserve">Q. Rev. </w:t>
      </w:r>
      <w:proofErr w:type="spellStart"/>
      <w:r w:rsidRPr="00BB4B2F">
        <w:rPr>
          <w:i/>
          <w:iCs/>
        </w:rPr>
        <w:t>Biophys</w:t>
      </w:r>
      <w:proofErr w:type="spellEnd"/>
      <w:r w:rsidRPr="00BB4B2F">
        <w:rPr>
          <w:i/>
          <w:iCs/>
        </w:rPr>
        <w:t>.</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w:t>
      </w:r>
      <w:proofErr w:type="spellStart"/>
      <w:r w:rsidRPr="00BB4B2F">
        <w:t>Karimata</w:t>
      </w:r>
      <w:proofErr w:type="spellEnd"/>
      <w:r w:rsidRPr="00BB4B2F">
        <w:t xml:space="preserve">,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w:t>
      </w:r>
      <w:proofErr w:type="spellStart"/>
      <w:r w:rsidRPr="00BB4B2F">
        <w:t>Roh</w:t>
      </w:r>
      <w:proofErr w:type="spellEnd"/>
      <w:r w:rsidRPr="00BB4B2F">
        <w:t xml:space="preserve">,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w:t>
      </w:r>
      <w:proofErr w:type="spellStart"/>
      <w:r w:rsidRPr="00BB4B2F">
        <w:t>Roh</w:t>
      </w:r>
      <w:proofErr w:type="spellEnd"/>
      <w:r w:rsidRPr="00BB4B2F">
        <w:t xml:space="preserve">, J. H.; </w:t>
      </w:r>
      <w:proofErr w:type="spellStart"/>
      <w:r w:rsidRPr="00BB4B2F">
        <w:t>Behrouzi</w:t>
      </w:r>
      <w:proofErr w:type="spellEnd"/>
      <w:r w:rsidRPr="00BB4B2F">
        <w:t xml:space="preserve">,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w:t>
      </w:r>
      <w:proofErr w:type="spellStart"/>
      <w:r w:rsidRPr="00BB4B2F">
        <w:t>Behrouzi</w:t>
      </w:r>
      <w:proofErr w:type="spellEnd"/>
      <w:r w:rsidRPr="00BB4B2F">
        <w:t xml:space="preserve">,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r>
      <w:proofErr w:type="spellStart"/>
      <w:r w:rsidRPr="00BB4B2F">
        <w:t>Leamy</w:t>
      </w:r>
      <w:proofErr w:type="spellEnd"/>
      <w:r w:rsidRPr="00BB4B2F">
        <w:t xml:space="preserve">, K. A.; Yennawar, N. H.; Bevilacqua, P. C. Cooperative RNA Folding under Cellular Conditions Arises </w:t>
      </w:r>
      <w:proofErr w:type="gramStart"/>
      <w:r w:rsidRPr="00BB4B2F">
        <w:t>From</w:t>
      </w:r>
      <w:proofErr w:type="gramEnd"/>
      <w:r w:rsidRPr="00BB4B2F">
        <w:t xml:space="preserve">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w:t>
      </w:r>
      <w:proofErr w:type="spellStart"/>
      <w:r w:rsidRPr="00BB4B2F">
        <w:t>Karimata</w:t>
      </w:r>
      <w:proofErr w:type="spellEnd"/>
      <w:r w:rsidRPr="00BB4B2F">
        <w:t xml:space="preserve">, H.; </w:t>
      </w:r>
      <w:proofErr w:type="spellStart"/>
      <w:r w:rsidRPr="00BB4B2F">
        <w:t>Ohmichi</w:t>
      </w:r>
      <w:proofErr w:type="spellEnd"/>
      <w:r w:rsidRPr="00BB4B2F">
        <w:t xml:space="preserve">, T.; Kawakami, J.; Sugimoto, N. The Effect of Molecular Crowding with Nucleotide Length and </w:t>
      </w:r>
      <w:proofErr w:type="spellStart"/>
      <w:r w:rsidRPr="00BB4B2F">
        <w:t>Cosolute</w:t>
      </w:r>
      <w:proofErr w:type="spellEnd"/>
      <w:r w:rsidRPr="00BB4B2F">
        <w:t xml:space="preserv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w:t>
      </w:r>
      <w:proofErr w:type="spellStart"/>
      <w:r w:rsidRPr="00BB4B2F">
        <w:t>Ohyama</w:t>
      </w:r>
      <w:proofErr w:type="spellEnd"/>
      <w:r w:rsidRPr="00BB4B2F">
        <w:t xml:space="preserve">, T.; </w:t>
      </w:r>
      <w:proofErr w:type="spellStart"/>
      <w:r w:rsidRPr="00BB4B2F">
        <w:t>Endoh</w:t>
      </w:r>
      <w:proofErr w:type="spellEnd"/>
      <w:r w:rsidRPr="00BB4B2F">
        <w:t xml:space="preserve">, T.; </w:t>
      </w:r>
      <w:proofErr w:type="spellStart"/>
      <w:r w:rsidRPr="00BB4B2F">
        <w:t>Tateishi-Karimata</w:t>
      </w:r>
      <w:proofErr w:type="spellEnd"/>
      <w:r w:rsidRPr="00BB4B2F">
        <w:t xml:space="preserve">,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w:t>
      </w:r>
      <w:proofErr w:type="spellStart"/>
      <w:r w:rsidRPr="00BB4B2F">
        <w:t>Znosko</w:t>
      </w:r>
      <w:proofErr w:type="spellEnd"/>
      <w:r w:rsidRPr="00BB4B2F">
        <w:t xml:space="preserve">,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w:t>
      </w:r>
      <w:proofErr w:type="spellStart"/>
      <w:r w:rsidRPr="00BB4B2F">
        <w:t>Pielak</w:t>
      </w:r>
      <w:proofErr w:type="spellEnd"/>
      <w:r w:rsidRPr="00BB4B2F">
        <w:t xml:space="preserve">,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r>
      <w:proofErr w:type="spellStart"/>
      <w:r w:rsidRPr="00BB4B2F">
        <w:t>Stadmiller</w:t>
      </w:r>
      <w:proofErr w:type="spellEnd"/>
      <w:r w:rsidRPr="00BB4B2F">
        <w:t xml:space="preserve">, S. S.; </w:t>
      </w:r>
      <w:proofErr w:type="spellStart"/>
      <w:r w:rsidRPr="00BB4B2F">
        <w:t>Pielak</w:t>
      </w:r>
      <w:proofErr w:type="spellEnd"/>
      <w:r w:rsidRPr="00BB4B2F">
        <w:t xml:space="preserve">, G. J. Protein-Complex Stability in Cells and in Vitro under Crowded Conditions. </w:t>
      </w:r>
      <w:proofErr w:type="spellStart"/>
      <w:r w:rsidRPr="00BB4B2F">
        <w:rPr>
          <w:i/>
          <w:iCs/>
        </w:rPr>
        <w:t>Curr</w:t>
      </w:r>
      <w:proofErr w:type="spellEnd"/>
      <w:r w:rsidRPr="00BB4B2F">
        <w:rPr>
          <w:i/>
          <w:iCs/>
        </w:rPr>
        <w:t xml:space="preserve">. </w:t>
      </w:r>
      <w:proofErr w:type="spellStart"/>
      <w:r w:rsidRPr="00BB4B2F">
        <w:rPr>
          <w:i/>
          <w:iCs/>
        </w:rPr>
        <w:t>Opin</w:t>
      </w:r>
      <w:proofErr w:type="spellEnd"/>
      <w:r w:rsidRPr="00BB4B2F">
        <w:rPr>
          <w:i/>
          <w:iCs/>
        </w:rPr>
        <w:t>.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w:t>
      </w:r>
      <w:proofErr w:type="spellStart"/>
      <w:r w:rsidRPr="00BB4B2F">
        <w:t>Jabaiah</w:t>
      </w:r>
      <w:proofErr w:type="spellEnd"/>
      <w:r w:rsidRPr="00BB4B2F">
        <w:t xml:space="preserve">, A.; Sheff, M. A.; Thorn, K. S.; Daugherty, P. S. Intracellular Protein Interaction Mapping with </w:t>
      </w:r>
      <w:r w:rsidRPr="00BB4B2F">
        <w:t xml:space="preserve">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w:t>
      </w:r>
      <w:proofErr w:type="spellStart"/>
      <w:r w:rsidRPr="00BB4B2F">
        <w:t>Gruebele</w:t>
      </w:r>
      <w:proofErr w:type="spellEnd"/>
      <w:r w:rsidRPr="00BB4B2F">
        <w:t xml:space="preserv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r>
      <w:proofErr w:type="spellStart"/>
      <w:r w:rsidRPr="00BB4B2F">
        <w:t>Uehata</w:t>
      </w:r>
      <w:proofErr w:type="spellEnd"/>
      <w:r w:rsidRPr="00BB4B2F">
        <w:t xml:space="preserve">,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 xml:space="preserve">Nat. </w:t>
      </w:r>
      <w:proofErr w:type="spellStart"/>
      <w:r w:rsidRPr="00BB4B2F">
        <w:rPr>
          <w:i/>
          <w:iCs/>
        </w:rPr>
        <w:t>Commun</w:t>
      </w:r>
      <w:proofErr w:type="spellEnd"/>
      <w:r w:rsidRPr="00BB4B2F">
        <w:rPr>
          <w:i/>
          <w:iCs/>
        </w:rPr>
        <w:t>.</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r>
      <w:proofErr w:type="spellStart"/>
      <w:r w:rsidRPr="00BB4B2F">
        <w:t>Leamy</w:t>
      </w:r>
      <w:proofErr w:type="spellEnd"/>
      <w:r w:rsidRPr="00BB4B2F">
        <w:t xml:space="preserve">,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w:t>
      </w:r>
      <w:proofErr w:type="spellStart"/>
      <w:r w:rsidRPr="00BB4B2F">
        <w:t>Osterhout</w:t>
      </w:r>
      <w:proofErr w:type="spellEnd"/>
      <w:r w:rsidRPr="00BB4B2F">
        <w:t xml:space="preserve">, R.; Van </w:t>
      </w:r>
      <w:proofErr w:type="spellStart"/>
      <w:r w:rsidRPr="00BB4B2F">
        <w:t>Dien</w:t>
      </w:r>
      <w:proofErr w:type="spellEnd"/>
      <w:r w:rsidRPr="00BB4B2F">
        <w:t xml:space="preserve">, S. J.; Rabinowitz, J. D. Absolute Metabolite </w:t>
      </w:r>
      <w:proofErr w:type="gramStart"/>
      <w:r w:rsidRPr="00BB4B2F">
        <w:t>Concentrations</w:t>
      </w:r>
      <w:proofErr w:type="gramEnd"/>
      <w:r w:rsidRPr="00BB4B2F">
        <w:t xml:space="preserve">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xml:space="preserve">; </w:t>
      </w:r>
      <w:proofErr w:type="spellStart"/>
      <w:proofErr w:type="gramStart"/>
      <w:r w:rsidRPr="00BB4B2F">
        <w:t>NewYork</w:t>
      </w:r>
      <w:proofErr w:type="spellEnd"/>
      <w:r w:rsidRPr="00BB4B2F">
        <w:t> ;</w:t>
      </w:r>
      <w:proofErr w:type="gramEnd"/>
      <w:r w:rsidRPr="00BB4B2F">
        <w:t xml:space="preserve">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t>(29)</w:t>
      </w:r>
      <w:r w:rsidRPr="00BB4B2F">
        <w:tab/>
        <w:t xml:space="preserve">Martell, A. E.; Smith, R. M. </w:t>
      </w:r>
      <w:r w:rsidRPr="00BB4B2F">
        <w:rPr>
          <w:i/>
          <w:iCs/>
        </w:rPr>
        <w:t>Critical Stability Constants.</w:t>
      </w:r>
      <w:r w:rsidRPr="00BB4B2F">
        <w:t xml:space="preserve">; New </w:t>
      </w:r>
      <w:proofErr w:type="gramStart"/>
      <w:r w:rsidRPr="00BB4B2F">
        <w:t>York ;</w:t>
      </w:r>
      <w:proofErr w:type="gramEnd"/>
      <w:r w:rsidRPr="00BB4B2F">
        <w:t xml:space="preserve">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xml:space="preserve">; New </w:t>
      </w:r>
      <w:proofErr w:type="gramStart"/>
      <w:r w:rsidRPr="00BB4B2F">
        <w:t>York ;</w:t>
      </w:r>
      <w:proofErr w:type="gramEnd"/>
      <w:r w:rsidRPr="00BB4B2F">
        <w:t xml:space="preserve">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r>
      <w:proofErr w:type="spellStart"/>
      <w:r w:rsidRPr="00BB4B2F">
        <w:t>Grilley</w:t>
      </w:r>
      <w:proofErr w:type="spellEnd"/>
      <w:r w:rsidRPr="00BB4B2F">
        <w:t xml:space="preserve">, D.; Soto, A. M.; Draper, D. E. Chapter 3 Direct Quantitation of Mg2+‐RNA Interactions by Use of a Fluorescent Dye. In </w:t>
      </w:r>
      <w:r w:rsidRPr="00BB4B2F">
        <w:rPr>
          <w:i/>
          <w:iCs/>
        </w:rPr>
        <w:t>Methods in Enzymology</w:t>
      </w:r>
      <w:r w:rsidRPr="00BB4B2F">
        <w:t xml:space="preserve">; </w:t>
      </w:r>
      <w:proofErr w:type="spellStart"/>
      <w:r w:rsidRPr="00BB4B2F">
        <w:t>Biothermodynamics</w:t>
      </w:r>
      <w:proofErr w:type="spellEnd"/>
      <w:r w:rsidRPr="00BB4B2F">
        <w:t>,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lastRenderedPageBreak/>
        <w:t>(35)</w:t>
      </w:r>
      <w:r w:rsidRPr="00BB4B2F">
        <w:tab/>
        <w:t xml:space="preserve">Xia, T.; </w:t>
      </w:r>
      <w:proofErr w:type="spellStart"/>
      <w:r w:rsidRPr="00BB4B2F">
        <w:t>SantaLucia</w:t>
      </w:r>
      <w:proofErr w:type="spellEnd"/>
      <w:r w:rsidRPr="00BB4B2F">
        <w:t xml:space="preserve">, J.; Burkard, M. E.; </w:t>
      </w:r>
      <w:proofErr w:type="spellStart"/>
      <w:r w:rsidRPr="00BB4B2F">
        <w:t>Kierzek</w:t>
      </w:r>
      <w:proofErr w:type="spellEnd"/>
      <w:r w:rsidRPr="00BB4B2F">
        <w:t xml:space="preserve">,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w:t>
      </w:r>
      <w:proofErr w:type="spellStart"/>
      <w:r w:rsidRPr="00BB4B2F">
        <w:t>Tataurov</w:t>
      </w:r>
      <w:proofErr w:type="spellEnd"/>
      <w:r w:rsidRPr="00BB4B2F">
        <w:t xml:space="preserve">, A. V.; </w:t>
      </w:r>
      <w:proofErr w:type="spellStart"/>
      <w:r w:rsidRPr="00BB4B2F">
        <w:t>Owczarzy</w:t>
      </w:r>
      <w:proofErr w:type="spellEnd"/>
      <w:r w:rsidRPr="00BB4B2F">
        <w:t xml:space="preserve">,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r>
      <w:proofErr w:type="spellStart"/>
      <w:r w:rsidRPr="00BB4B2F">
        <w:t>Adamala</w:t>
      </w:r>
      <w:proofErr w:type="spellEnd"/>
      <w:r w:rsidRPr="00BB4B2F">
        <w:t xml:space="preserve">, K.; </w:t>
      </w:r>
      <w:proofErr w:type="spellStart"/>
      <w:r w:rsidRPr="00BB4B2F">
        <w:t>Szostak</w:t>
      </w:r>
      <w:proofErr w:type="spellEnd"/>
      <w:r w:rsidRPr="00BB4B2F">
        <w:t xml:space="preserve">,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w:t>
      </w:r>
      <w:proofErr w:type="spellStart"/>
      <w:r w:rsidRPr="00BB4B2F">
        <w:t>Internucleotide</w:t>
      </w:r>
      <w:proofErr w:type="spellEnd"/>
      <w:r w:rsidRPr="00BB4B2F">
        <w:t xml:space="preserve"> Linkage </w:t>
      </w:r>
      <w:proofErr w:type="gramStart"/>
      <w:r w:rsidRPr="00BB4B2F">
        <w:t>Geometry</w:t>
      </w:r>
      <w:proofErr w:type="gramEnd"/>
      <w:r w:rsidRPr="00BB4B2F">
        <w:t xml:space="preserve">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w:t>
      </w:r>
      <w:proofErr w:type="spellStart"/>
      <w:r w:rsidRPr="00BB4B2F">
        <w:t>Montange</w:t>
      </w:r>
      <w:proofErr w:type="spellEnd"/>
      <w:r w:rsidRPr="00BB4B2F">
        <w:t xml:space="preserve">, R. K. Structure of a Natural Guanine-Responsive Riboswitch Complexed with the 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w:t>
      </w:r>
      <w:proofErr w:type="spellStart"/>
      <w:r w:rsidRPr="00BB4B2F">
        <w:t>Portz</w:t>
      </w:r>
      <w:proofErr w:type="spellEnd"/>
      <w:r w:rsidRPr="00BB4B2F">
        <w:t xml:space="preserve">, B.; Keating, C. D.; Bevilacqua, P. C. RNA Sequence and Structure Control </w:t>
      </w:r>
      <w:proofErr w:type="gramStart"/>
      <w:r w:rsidRPr="00BB4B2F">
        <w:t xml:space="preserve">Assembly </w:t>
      </w:r>
      <w:r w:rsidR="000B00BD">
        <w:t xml:space="preserve"> </w:t>
      </w:r>
      <w:r w:rsidRPr="00BB4B2F">
        <w:t>and</w:t>
      </w:r>
      <w:proofErr w:type="gramEnd"/>
      <w:r w:rsidRPr="00BB4B2F">
        <w:t xml:space="preserve">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t>
      </w:r>
      <w:proofErr w:type="spellStart"/>
      <w:r w:rsidRPr="00BB4B2F">
        <w:t>WAXSiS</w:t>
      </w:r>
      <w:proofErr w:type="spellEnd"/>
      <w:r w:rsidRPr="00BB4B2F">
        <w:t xml:space="preserve">: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r>
      <w:proofErr w:type="spellStart"/>
      <w:r w:rsidRPr="00BB4B2F">
        <w:t>Klosin</w:t>
      </w:r>
      <w:proofErr w:type="spellEnd"/>
      <w:r w:rsidRPr="00BB4B2F">
        <w:t xml:space="preserve">, A.; </w:t>
      </w:r>
      <w:proofErr w:type="spellStart"/>
      <w:r w:rsidRPr="00BB4B2F">
        <w:t>Oltsch</w:t>
      </w:r>
      <w:proofErr w:type="spellEnd"/>
      <w:r w:rsidRPr="00BB4B2F">
        <w:t xml:space="preserve">, F.; Harmon, T.; </w:t>
      </w:r>
      <w:proofErr w:type="spellStart"/>
      <w:r w:rsidRPr="00BB4B2F">
        <w:t>Honigmann</w:t>
      </w:r>
      <w:proofErr w:type="spellEnd"/>
      <w:r w:rsidRPr="00BB4B2F">
        <w:t xml:space="preserve">, A.; </w:t>
      </w:r>
      <w:proofErr w:type="spellStart"/>
      <w:r w:rsidRPr="00BB4B2F">
        <w:t>Jülicher</w:t>
      </w:r>
      <w:proofErr w:type="spellEnd"/>
      <w:r w:rsidRPr="00BB4B2F">
        <w:t xml:space="preserve">, F.; Hyman, A. A.; </w:t>
      </w:r>
      <w:proofErr w:type="spellStart"/>
      <w:r w:rsidRPr="00BB4B2F">
        <w:t>Zechner</w:t>
      </w:r>
      <w:proofErr w:type="spellEnd"/>
      <w:r w:rsidRPr="00BB4B2F">
        <w:t xml:space="preserve">,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r>
      <w:proofErr w:type="spellStart"/>
      <w:r w:rsidRPr="00BB4B2F">
        <w:t>Riback</w:t>
      </w:r>
      <w:proofErr w:type="spellEnd"/>
      <w:r w:rsidRPr="00BB4B2F">
        <w:t xml:space="preserve">, J. A.; Zhu, L.; </w:t>
      </w:r>
      <w:proofErr w:type="spellStart"/>
      <w:r w:rsidRPr="00BB4B2F">
        <w:t>Ferrolino</w:t>
      </w:r>
      <w:proofErr w:type="spellEnd"/>
      <w:r w:rsidRPr="00BB4B2F">
        <w:t xml:space="preserve">, M. C.; Tolbert, M.; </w:t>
      </w:r>
      <w:proofErr w:type="spellStart"/>
      <w:r w:rsidRPr="00BB4B2F">
        <w:t>Mitrea</w:t>
      </w:r>
      <w:proofErr w:type="spellEnd"/>
      <w:r w:rsidRPr="00BB4B2F">
        <w:t xml:space="preserve">, D. M.; Sanders, D. W.; Wei, M.-T.; </w:t>
      </w:r>
      <w:proofErr w:type="spellStart"/>
      <w:r w:rsidRPr="00BB4B2F">
        <w:t>Kriwacki</w:t>
      </w:r>
      <w:proofErr w:type="spellEnd"/>
      <w:r w:rsidRPr="00BB4B2F">
        <w:t xml:space="preserve">, R. W.; </w:t>
      </w:r>
      <w:proofErr w:type="spellStart"/>
      <w:r w:rsidRPr="00BB4B2F">
        <w:t>Brangwynne</w:t>
      </w:r>
      <w:proofErr w:type="spellEnd"/>
      <w:r w:rsidRPr="00BB4B2F">
        <w:t xml:space="preserv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w:t>
      </w:r>
      <w:proofErr w:type="spellStart"/>
      <w:r w:rsidRPr="00BB4B2F">
        <w:t>Shkel</w:t>
      </w:r>
      <w:proofErr w:type="spellEnd"/>
      <w:r w:rsidRPr="00BB4B2F">
        <w:t xml:space="preserve">, I.; </w:t>
      </w:r>
      <w:proofErr w:type="spellStart"/>
      <w:r w:rsidRPr="00BB4B2F">
        <w:t>Bellissimo</w:t>
      </w:r>
      <w:proofErr w:type="spellEnd"/>
      <w:r w:rsidRPr="00BB4B2F">
        <w:t xml:space="preserve">, D.; </w:t>
      </w:r>
      <w:proofErr w:type="spellStart"/>
      <w:r w:rsidRPr="00BB4B2F">
        <w:t>Felitsky</w:t>
      </w:r>
      <w:proofErr w:type="spellEnd"/>
      <w:r w:rsidRPr="00BB4B2F">
        <w:t xml:space="preserve">,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w:t>
      </w:r>
      <w:proofErr w:type="spellStart"/>
      <w:r w:rsidRPr="00BB4B2F">
        <w:t>Shkel</w:t>
      </w:r>
      <w:proofErr w:type="spellEnd"/>
      <w:r w:rsidRPr="00BB4B2F">
        <w:t xml:space="preserve">, I. A.; </w:t>
      </w:r>
      <w:proofErr w:type="spellStart"/>
      <w:r w:rsidRPr="00BB4B2F">
        <w:t>Molzahn</w:t>
      </w:r>
      <w:proofErr w:type="spellEnd"/>
      <w:r w:rsidRPr="00BB4B2F">
        <w:t xml:space="preserve">,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w:t>
      </w:r>
      <w:proofErr w:type="spellStart"/>
      <w:r w:rsidRPr="00BB4B2F">
        <w:t>Lagoa</w:t>
      </w:r>
      <w:proofErr w:type="spellEnd"/>
      <w:r w:rsidRPr="00BB4B2F">
        <w:t xml:space="preserve">-Miguel,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19"/>
      <w:footerReference w:type="even" r:id="rId20"/>
      <w:footerReference w:type="default" r:id="rId21"/>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6" w:author="Sieg, Jacob Philip" w:date="2022-07-11T10:21:00Z" w:initials="SJP">
    <w:p w14:paraId="3658C759" w14:textId="77777777" w:rsidR="00935500" w:rsidRDefault="00935500" w:rsidP="00935500">
      <w:pPr>
        <w:pStyle w:val="CommentText"/>
      </w:pPr>
      <w:r>
        <w:rPr>
          <w:rStyle w:val="CommentReference"/>
        </w:rPr>
        <w:annotationRef/>
      </w:r>
      <w:r>
        <w:t>I will do this</w:t>
      </w:r>
    </w:p>
  </w:comment>
  <w:comment w:id="7" w:author="Bevilacqua, Philip C" w:date="2022-07-09T12:25:00Z" w:initials="BPC">
    <w:p w14:paraId="39A1F59C" w14:textId="77777777"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8"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9" w:author="Bevilacqua, Philip C" w:date="2022-07-09T15:45:00Z" w:initials="BPC">
    <w:p w14:paraId="5F98141F" w14:textId="77777777" w:rsidR="000D035D" w:rsidRDefault="000D035D" w:rsidP="000D035D">
      <w:pPr>
        <w:pStyle w:val="CommentText"/>
      </w:pPr>
      <w:r>
        <w:rPr>
          <w:rStyle w:val="CommentReference"/>
        </w:rPr>
        <w:annotationRef/>
      </w:r>
      <w:r>
        <w:t>flip order to show complementarity and then put in “5’” and “3’” in both strands?  For all?</w:t>
      </w:r>
    </w:p>
  </w:comment>
  <w:comment w:id="10" w:author="Sieg, Jacob Philip" w:date="2022-07-11T14:03:00Z" w:initials="SJP">
    <w:p w14:paraId="6848D335" w14:textId="77777777" w:rsidR="000D035D" w:rsidRDefault="000D035D" w:rsidP="000D035D">
      <w:pPr>
        <w:pStyle w:val="CommentText"/>
      </w:pPr>
      <w:r>
        <w:rPr>
          <w:rStyle w:val="CommentReference"/>
        </w:rPr>
        <w:annotationRef/>
      </w:r>
      <w:r>
        <w:t>Do I have to? See figure 2D</w:t>
      </w:r>
    </w:p>
  </w:comment>
  <w:comment w:id="11"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2"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3"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4"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5" w:author="Bevilacqua, Philip C" w:date="2022-07-09T13:38:00Z" w:initials="BPC">
    <w:p w14:paraId="7CBE6A90" w14:textId="77777777" w:rsidR="00935500" w:rsidRDefault="00935500" w:rsidP="00935500">
      <w:pPr>
        <w:pStyle w:val="CommentText"/>
      </w:pPr>
      <w:r>
        <w:rPr>
          <w:rStyle w:val="CommentReference"/>
        </w:rPr>
        <w:annotationRef/>
      </w:r>
      <w:r>
        <w:t>Call it J2/3?  Label Fig 3B, 3C, S5, S6 accordingly.</w:t>
      </w:r>
    </w:p>
  </w:comment>
  <w:comment w:id="16" w:author="Bevilacqua, Philip C" w:date="2022-07-09T15:47:00Z" w:initials="BPC">
    <w:p w14:paraId="6568EB6C" w14:textId="77777777"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7"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8"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9" w:author="Bevilacqua, Philip C" w:date="2022-07-09T15:16:00Z" w:initials="BPC">
    <w:p w14:paraId="0283E794" w14:textId="77777777" w:rsidR="00935500" w:rsidRDefault="00935500" w:rsidP="00935500">
      <w:pPr>
        <w:pStyle w:val="CommentText"/>
      </w:pPr>
      <w:r>
        <w:rPr>
          <w:rStyle w:val="CommentReference"/>
        </w:rPr>
        <w:annotationRef/>
      </w:r>
      <w:r>
        <w:t>Choose the hammerhead result instead? Is 2 mM the only Mg2+ data you trust?</w:t>
      </w:r>
    </w:p>
  </w:comment>
  <w:comment w:id="20"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F98141F" w15:done="0"/>
  <w15:commentEx w15:paraId="6848D335" w15:paraIdParent="5F98141F" w15:done="0"/>
  <w15:commentEx w15:paraId="5B8DDCF5" w15:done="0"/>
  <w15:commentEx w15:paraId="13DD9631" w15:paraIdParent="5B8DDCF5" w15:done="0"/>
  <w15:commentEx w15:paraId="366C1941" w15:done="0"/>
  <w15:commentEx w15:paraId="6C11AA48" w15:paraIdParent="366C1941" w15:done="0"/>
  <w15:commentEx w15:paraId="7CBE6A90" w15:done="0"/>
  <w15:commentEx w15:paraId="6568EB6C" w15:done="0"/>
  <w15:commentEx w15:paraId="051C86AF" w15:paraIdParent="6568EB6C" w15:done="0"/>
  <w15:commentEx w15:paraId="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2B" w16cex:dateUtc="2022-07-11T18:03:00Z"/>
  <w16cex:commentExtensible w16cex:durableId="2676ACA6" w16cex:dateUtc="2022-07-11T18:05:00Z"/>
  <w16cex:commentExtensible w16cex:durableId="26768DE2" w16cex:dateUtc="2022-07-11T15:54:00Z"/>
  <w16cex:commentExtensible w16cex:durableId="2676A3BF" w16cex:dateUtc="2022-07-11T17:27: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F98141F" w16cid:durableId="2674211E"/>
  <w16cid:commentId w16cid:paraId="6848D335" w16cid:durableId="2676AC2B"/>
  <w16cid:commentId w16cid:paraId="5B8DDCF5" w16cid:durableId="2673EF70"/>
  <w16cid:commentId w16cid:paraId="13DD9631" w16cid:durableId="2676ACA6"/>
  <w16cid:commentId w16cid:paraId="366C1941" w16cid:durableId="267404C0"/>
  <w16cid:commentId w16cid:paraId="6C11AA48" w16cid:durableId="26768DE2"/>
  <w16cid:commentId w16cid:paraId="7CBE6A90" w16cid:durableId="2674035E"/>
  <w16cid:commentId w16cid:paraId="6568EB6C" w16cid:durableId="267421A9"/>
  <w16cid:commentId w16cid:paraId="051C86AF" w16cid:durableId="2676A3BF"/>
  <w16cid:commentId w16cid:paraId="53F36DD2" w16cid:durableId="267406D8"/>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D324E" w14:textId="77777777" w:rsidR="008A3F81" w:rsidRDefault="008A3F81">
      <w:r>
        <w:separator/>
      </w:r>
    </w:p>
    <w:p w14:paraId="7A0FB393" w14:textId="77777777" w:rsidR="008A3F81" w:rsidRDefault="008A3F81"/>
  </w:endnote>
  <w:endnote w:type="continuationSeparator" w:id="0">
    <w:p w14:paraId="208DEE3C" w14:textId="77777777" w:rsidR="008A3F81" w:rsidRDefault="008A3F81">
      <w:r>
        <w:continuationSeparator/>
      </w:r>
    </w:p>
    <w:p w14:paraId="7FF92698" w14:textId="77777777" w:rsidR="008A3F81" w:rsidRDefault="008A3F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20002A87" w:usb1="80000000" w:usb2="00000008" w:usb3="00000000" w:csb0="000001FF" w:csb1="00000000"/>
    <w:embedRegular r:id="rId1" w:subsetted="1" w:fontKey="{C079A245-95A4-4F0D-848B-A35D1CCD7D08}"/>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5CAF92B2-DD05-4187-AD9D-EFCA76BF4EA0}"/>
    <w:embedItalic r:id="rId3" w:fontKey="{CEA5FCCF-F30B-4D81-BC13-3C7C587034D1}"/>
  </w:font>
  <w:font w:name="C059">
    <w:altName w:val="Calibri"/>
    <w:charset w:val="01"/>
    <w:family w:val="roman"/>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99C2" w14:textId="77777777" w:rsidR="004E35E0" w:rsidRDefault="004E35E0">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2B4BA" w14:textId="77777777" w:rsidR="008A3F81" w:rsidRDefault="008A3F81">
      <w:r>
        <w:separator/>
      </w:r>
    </w:p>
    <w:p w14:paraId="7C7C04D4" w14:textId="77777777" w:rsidR="008A3F81" w:rsidRDefault="008A3F81"/>
  </w:footnote>
  <w:footnote w:type="continuationSeparator" w:id="0">
    <w:p w14:paraId="691D7D53" w14:textId="77777777" w:rsidR="008A3F81" w:rsidRDefault="008A3F81">
      <w:r>
        <w:continuationSeparator/>
      </w:r>
    </w:p>
    <w:p w14:paraId="2B5DD3E3" w14:textId="77777777" w:rsidR="008A3F81" w:rsidRDefault="008A3F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45173"/>
    <w:rsid w:val="00095F1A"/>
    <w:rsid w:val="000A65BB"/>
    <w:rsid w:val="000B00BD"/>
    <w:rsid w:val="000D035D"/>
    <w:rsid w:val="000D2D84"/>
    <w:rsid w:val="000D5668"/>
    <w:rsid w:val="000E75E3"/>
    <w:rsid w:val="00101D1F"/>
    <w:rsid w:val="00110A77"/>
    <w:rsid w:val="001379DD"/>
    <w:rsid w:val="00141659"/>
    <w:rsid w:val="00150B32"/>
    <w:rsid w:val="0015109A"/>
    <w:rsid w:val="00157E12"/>
    <w:rsid w:val="00174375"/>
    <w:rsid w:val="00183F17"/>
    <w:rsid w:val="00185249"/>
    <w:rsid w:val="001E451C"/>
    <w:rsid w:val="002031A2"/>
    <w:rsid w:val="0024409A"/>
    <w:rsid w:val="002729FB"/>
    <w:rsid w:val="002856E7"/>
    <w:rsid w:val="002A7098"/>
    <w:rsid w:val="002A7D96"/>
    <w:rsid w:val="002C3431"/>
    <w:rsid w:val="002D0B8E"/>
    <w:rsid w:val="00310911"/>
    <w:rsid w:val="0034482F"/>
    <w:rsid w:val="0034534C"/>
    <w:rsid w:val="0035002E"/>
    <w:rsid w:val="003547B0"/>
    <w:rsid w:val="00357396"/>
    <w:rsid w:val="003679A1"/>
    <w:rsid w:val="003A0F5F"/>
    <w:rsid w:val="003B4AF3"/>
    <w:rsid w:val="003C2BE3"/>
    <w:rsid w:val="003E5207"/>
    <w:rsid w:val="0041079D"/>
    <w:rsid w:val="00422950"/>
    <w:rsid w:val="00427112"/>
    <w:rsid w:val="00453717"/>
    <w:rsid w:val="004564CF"/>
    <w:rsid w:val="00477F7D"/>
    <w:rsid w:val="0049449E"/>
    <w:rsid w:val="00496B72"/>
    <w:rsid w:val="00497010"/>
    <w:rsid w:val="004A742B"/>
    <w:rsid w:val="004E35E0"/>
    <w:rsid w:val="0050545D"/>
    <w:rsid w:val="005327A4"/>
    <w:rsid w:val="005329C7"/>
    <w:rsid w:val="00551789"/>
    <w:rsid w:val="00552A07"/>
    <w:rsid w:val="005754B8"/>
    <w:rsid w:val="00575965"/>
    <w:rsid w:val="00575EE2"/>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67EF"/>
    <w:rsid w:val="00631B3F"/>
    <w:rsid w:val="00631E32"/>
    <w:rsid w:val="0064353C"/>
    <w:rsid w:val="006532A9"/>
    <w:rsid w:val="00696205"/>
    <w:rsid w:val="006A6EF6"/>
    <w:rsid w:val="006B2581"/>
    <w:rsid w:val="006B6E61"/>
    <w:rsid w:val="006C5E19"/>
    <w:rsid w:val="006E6BC5"/>
    <w:rsid w:val="006F268D"/>
    <w:rsid w:val="007009DA"/>
    <w:rsid w:val="0071182A"/>
    <w:rsid w:val="007130C0"/>
    <w:rsid w:val="007167D6"/>
    <w:rsid w:val="007179F0"/>
    <w:rsid w:val="00725E67"/>
    <w:rsid w:val="00727E1C"/>
    <w:rsid w:val="007331FF"/>
    <w:rsid w:val="0075317A"/>
    <w:rsid w:val="007629D3"/>
    <w:rsid w:val="007A6844"/>
    <w:rsid w:val="007C1108"/>
    <w:rsid w:val="007C1383"/>
    <w:rsid w:val="007D381E"/>
    <w:rsid w:val="007D4898"/>
    <w:rsid w:val="007E19EA"/>
    <w:rsid w:val="007F3FDD"/>
    <w:rsid w:val="007F6792"/>
    <w:rsid w:val="00803489"/>
    <w:rsid w:val="008348A2"/>
    <w:rsid w:val="00835CBD"/>
    <w:rsid w:val="00865479"/>
    <w:rsid w:val="008655C0"/>
    <w:rsid w:val="008A3F81"/>
    <w:rsid w:val="008B3498"/>
    <w:rsid w:val="008D2DFE"/>
    <w:rsid w:val="008D3D15"/>
    <w:rsid w:val="008D567C"/>
    <w:rsid w:val="00905885"/>
    <w:rsid w:val="00906C3C"/>
    <w:rsid w:val="0092037A"/>
    <w:rsid w:val="009246AD"/>
    <w:rsid w:val="00927CDC"/>
    <w:rsid w:val="009328EB"/>
    <w:rsid w:val="00935500"/>
    <w:rsid w:val="00957C0B"/>
    <w:rsid w:val="00967927"/>
    <w:rsid w:val="00984F9E"/>
    <w:rsid w:val="009A3C0C"/>
    <w:rsid w:val="009B0000"/>
    <w:rsid w:val="009B5B89"/>
    <w:rsid w:val="009E5F8E"/>
    <w:rsid w:val="00A02D62"/>
    <w:rsid w:val="00A07614"/>
    <w:rsid w:val="00A269C9"/>
    <w:rsid w:val="00A444E1"/>
    <w:rsid w:val="00A460B5"/>
    <w:rsid w:val="00A46C91"/>
    <w:rsid w:val="00A66999"/>
    <w:rsid w:val="00A66EDD"/>
    <w:rsid w:val="00A71C00"/>
    <w:rsid w:val="00A87C4F"/>
    <w:rsid w:val="00AB6222"/>
    <w:rsid w:val="00AC1839"/>
    <w:rsid w:val="00AC5F97"/>
    <w:rsid w:val="00AC6438"/>
    <w:rsid w:val="00AE4B97"/>
    <w:rsid w:val="00AF1765"/>
    <w:rsid w:val="00AF2AD1"/>
    <w:rsid w:val="00B24AEC"/>
    <w:rsid w:val="00B42C29"/>
    <w:rsid w:val="00B563D9"/>
    <w:rsid w:val="00B63D39"/>
    <w:rsid w:val="00B71491"/>
    <w:rsid w:val="00B7618D"/>
    <w:rsid w:val="00B82859"/>
    <w:rsid w:val="00B8295E"/>
    <w:rsid w:val="00B875D7"/>
    <w:rsid w:val="00B90AA9"/>
    <w:rsid w:val="00B97259"/>
    <w:rsid w:val="00BB10FE"/>
    <w:rsid w:val="00BB1101"/>
    <w:rsid w:val="00BB1134"/>
    <w:rsid w:val="00BB4B2F"/>
    <w:rsid w:val="00BC3E2A"/>
    <w:rsid w:val="00BD0668"/>
    <w:rsid w:val="00BD5122"/>
    <w:rsid w:val="00BE533F"/>
    <w:rsid w:val="00BE629D"/>
    <w:rsid w:val="00C0507A"/>
    <w:rsid w:val="00C06CFC"/>
    <w:rsid w:val="00C10C9B"/>
    <w:rsid w:val="00C168F2"/>
    <w:rsid w:val="00C16A30"/>
    <w:rsid w:val="00C30403"/>
    <w:rsid w:val="00C45E7B"/>
    <w:rsid w:val="00C57D4C"/>
    <w:rsid w:val="00C72D78"/>
    <w:rsid w:val="00C77856"/>
    <w:rsid w:val="00C9140C"/>
    <w:rsid w:val="00CA15CA"/>
    <w:rsid w:val="00CD3D16"/>
    <w:rsid w:val="00CE1C3F"/>
    <w:rsid w:val="00D04024"/>
    <w:rsid w:val="00D0596F"/>
    <w:rsid w:val="00D13B1B"/>
    <w:rsid w:val="00D61DBF"/>
    <w:rsid w:val="00D66756"/>
    <w:rsid w:val="00D84587"/>
    <w:rsid w:val="00D86677"/>
    <w:rsid w:val="00D928D2"/>
    <w:rsid w:val="00DA6E25"/>
    <w:rsid w:val="00DD1EEC"/>
    <w:rsid w:val="00DD29EF"/>
    <w:rsid w:val="00DD498A"/>
    <w:rsid w:val="00DE78D2"/>
    <w:rsid w:val="00DF26F1"/>
    <w:rsid w:val="00DF59F4"/>
    <w:rsid w:val="00DF683D"/>
    <w:rsid w:val="00E074F2"/>
    <w:rsid w:val="00E20DE8"/>
    <w:rsid w:val="00E2340D"/>
    <w:rsid w:val="00E32A18"/>
    <w:rsid w:val="00E46BD3"/>
    <w:rsid w:val="00E65825"/>
    <w:rsid w:val="00E75388"/>
    <w:rsid w:val="00E84CB9"/>
    <w:rsid w:val="00E96302"/>
    <w:rsid w:val="00EA282F"/>
    <w:rsid w:val="00EC5391"/>
    <w:rsid w:val="00F103D7"/>
    <w:rsid w:val="00F10E56"/>
    <w:rsid w:val="00F270EE"/>
    <w:rsid w:val="00F5421E"/>
    <w:rsid w:val="00F72A71"/>
    <w:rsid w:val="00F8537A"/>
    <w:rsid w:val="00F91AD8"/>
    <w:rsid w:val="00F97782"/>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Sieg_main_text_V4</Template>
  <TotalTime>282</TotalTime>
  <Pages>11</Pages>
  <Words>26123</Words>
  <Characters>148905</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174679</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33</cp:revision>
  <cp:lastPrinted>2011-04-15T21:20:00Z</cp:lastPrinted>
  <dcterms:created xsi:type="dcterms:W3CDTF">2022-07-27T13:59:00Z</dcterms:created>
  <dcterms:modified xsi:type="dcterms:W3CDTF">2022-07-27T18:46:00Z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